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jc w:val="right"/>
        <w:rPr>
          <w:sz w:val="28"/>
        </w:rPr>
        <w:sectPr>
          <w:footerReference r:id="rId4" w:type="default"/>
          <w:headerReference r:id="rId3" w:type="even"/>
          <w:footerReference r:id="rId5" w:type="even"/>
          <w:pgSz w:w="11910" w:h="16840"/>
          <w:pgMar w:top="1460" w:right="1420" w:bottom="1134" w:left="1060" w:header="0" w:footer="0" w:gutter="0"/>
          <w:pgNumType w:fmt="numberInDash"/>
          <w:cols w:space="720" w:num="1"/>
        </w:sectPr>
      </w:pPr>
    </w:p>
    <w:p>
      <w:pPr>
        <w:tabs>
          <w:tab w:val="left" w:pos="19440"/>
        </w:tabs>
        <w:spacing w:line="480" w:lineRule="exact"/>
        <w:ind w:firstLine="440" w:firstLineChars="100"/>
        <w:jc w:val="center"/>
        <w:rPr>
          <w:rFonts w:eastAsia="黑体"/>
          <w:bCs/>
          <w:sz w:val="36"/>
          <w:szCs w:val="36"/>
        </w:rPr>
      </w:pP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center"/>
        <w:rPr>
          <w:bCs/>
          <w:sz w:val="32"/>
          <w:szCs w:val="32"/>
          <w:u w:val="single"/>
        </w:rPr>
      </w:pPr>
      <w:r>
        <w:rPr>
          <w:bCs/>
          <w:sz w:val="32"/>
          <w:szCs w:val="32"/>
        </w:rPr>
        <w:t>单位</w:t>
      </w:r>
      <w:r>
        <w:rPr>
          <w:rFonts w:hint="eastAsia" w:ascii="仿宋" w:hAnsi="仿宋" w:eastAsia="仿宋" w:cs="仿宋"/>
          <w:bCs/>
          <w:sz w:val="28"/>
          <w:szCs w:val="28"/>
          <w:u w:val="single"/>
        </w:rPr>
        <w:t>湖南高速铁路职业技术学院</w:t>
      </w:r>
      <w:r>
        <w:rPr>
          <w:bCs/>
          <w:sz w:val="32"/>
          <w:szCs w:val="32"/>
        </w:rPr>
        <w:t xml:space="preserve">  姓名</w:t>
      </w:r>
      <w:r>
        <w:rPr>
          <w:bCs/>
          <w:sz w:val="32"/>
          <w:szCs w:val="32"/>
          <w:u w:val="single"/>
        </w:rPr>
        <w:t xml:space="preserve"> </w:t>
      </w:r>
      <w:r>
        <w:rPr>
          <w:bCs/>
          <w:sz w:val="28"/>
          <w:szCs w:val="28"/>
          <w:u w:val="single"/>
        </w:rPr>
        <w:t xml:space="preserve"> </w:t>
      </w:r>
      <w:r>
        <w:rPr>
          <w:rFonts w:hint="eastAsia"/>
          <w:bCs/>
          <w:sz w:val="28"/>
          <w:szCs w:val="28"/>
          <w:u w:val="single"/>
        </w:rPr>
        <w:t>廖果</w:t>
      </w:r>
      <w:r>
        <w:rPr>
          <w:bCs/>
          <w:sz w:val="28"/>
          <w:szCs w:val="28"/>
          <w:u w:val="single"/>
        </w:rPr>
        <w:t xml:space="preserve"> </w:t>
      </w:r>
      <w:r>
        <w:rPr>
          <w:bCs/>
          <w:sz w:val="28"/>
          <w:szCs w:val="28"/>
        </w:rPr>
        <w:t xml:space="preserve">  </w:t>
      </w:r>
      <w:r>
        <w:rPr>
          <w:bCs/>
          <w:sz w:val="32"/>
          <w:szCs w:val="32"/>
        </w:rPr>
        <w:t>申报</w:t>
      </w:r>
      <w:r>
        <w:rPr>
          <w:rFonts w:hint="eastAsia"/>
          <w:bCs/>
          <w:sz w:val="32"/>
          <w:szCs w:val="32"/>
        </w:rPr>
        <w:t>职称</w:t>
      </w:r>
      <w:r>
        <w:rPr>
          <w:bCs/>
          <w:sz w:val="32"/>
          <w:szCs w:val="32"/>
          <w:u w:val="single"/>
        </w:rPr>
        <w:t xml:space="preserve"> </w:t>
      </w:r>
      <w:r>
        <w:rPr>
          <w:bCs/>
          <w:sz w:val="28"/>
          <w:szCs w:val="28"/>
          <w:u w:val="single"/>
        </w:rPr>
        <w:t xml:space="preserve"> </w:t>
      </w:r>
      <w:r>
        <w:rPr>
          <w:rFonts w:hint="eastAsia"/>
          <w:bCs/>
          <w:sz w:val="28"/>
          <w:szCs w:val="28"/>
          <w:u w:val="single"/>
        </w:rPr>
        <w:t>副教授</w:t>
      </w:r>
      <w:r>
        <w:rPr>
          <w:bCs/>
          <w:sz w:val="28"/>
          <w:szCs w:val="28"/>
          <w:u w:val="single"/>
        </w:rPr>
        <w:t xml:space="preserve">  </w:t>
      </w:r>
      <w:r>
        <w:rPr>
          <w:rFonts w:eastAsia="黑体"/>
          <w:b/>
          <w:bCs/>
          <w:sz w:val="28"/>
          <w:szCs w:val="28"/>
        </w:rPr>
        <w:t xml:space="preserve">  </w:t>
      </w:r>
      <w:r>
        <w:rPr>
          <w:bCs/>
          <w:sz w:val="32"/>
          <w:szCs w:val="32"/>
        </w:rPr>
        <w:t>学科（专业）</w:t>
      </w:r>
      <w:r>
        <w:rPr>
          <w:bCs/>
          <w:sz w:val="32"/>
          <w:szCs w:val="32"/>
          <w:u w:val="single"/>
        </w:rPr>
        <w:t xml:space="preserve"> </w:t>
      </w:r>
      <w:r>
        <w:rPr>
          <w:bCs/>
          <w:sz w:val="28"/>
          <w:szCs w:val="28"/>
          <w:u w:val="single"/>
        </w:rPr>
        <w:t xml:space="preserve"> </w:t>
      </w:r>
      <w:r>
        <w:rPr>
          <w:rFonts w:hint="eastAsia"/>
          <w:bCs/>
          <w:sz w:val="28"/>
          <w:szCs w:val="28"/>
          <w:u w:val="single"/>
        </w:rPr>
        <w:t>艺术</w:t>
      </w:r>
      <w:r>
        <w:rPr>
          <w:bCs/>
          <w:sz w:val="28"/>
          <w:szCs w:val="28"/>
          <w:u w:val="single"/>
        </w:rPr>
        <w:t xml:space="preserve">  </w:t>
      </w:r>
    </w:p>
    <w:tbl>
      <w:tblPr>
        <w:tblStyle w:val="8"/>
        <w:tblW w:w="22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27"/>
        <w:gridCol w:w="1153"/>
        <w:gridCol w:w="92"/>
        <w:gridCol w:w="1354"/>
        <w:gridCol w:w="159"/>
        <w:gridCol w:w="677"/>
        <w:gridCol w:w="519"/>
        <w:gridCol w:w="1356"/>
        <w:gridCol w:w="722"/>
        <w:gridCol w:w="1324"/>
        <w:gridCol w:w="939"/>
        <w:gridCol w:w="1005"/>
        <w:gridCol w:w="35"/>
        <w:gridCol w:w="940"/>
        <w:gridCol w:w="1170"/>
        <w:gridCol w:w="95"/>
        <w:gridCol w:w="755"/>
        <w:gridCol w:w="1320"/>
        <w:gridCol w:w="1245"/>
        <w:gridCol w:w="1509"/>
        <w:gridCol w:w="716"/>
        <w:gridCol w:w="975"/>
        <w:gridCol w:w="111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6770" w:type="dxa"/>
            <w:gridSpan w:val="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基本情况</w:t>
            </w:r>
          </w:p>
        </w:tc>
        <w:tc>
          <w:tcPr>
            <w:tcW w:w="15566" w:type="dxa"/>
            <w:gridSpan w:val="16"/>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1333" w:type="dxa"/>
            <w:tcBorders>
              <w:left w:val="single" w:color="auto" w:sz="4" w:space="0"/>
              <w:right w:val="single" w:color="auto" w:sz="4" w:space="0"/>
            </w:tcBorders>
            <w:vAlign w:val="center"/>
          </w:tcPr>
          <w:p>
            <w:pPr>
              <w:spacing w:line="280" w:lineRule="exact"/>
              <w:jc w:val="distribute"/>
              <w:rPr>
                <w:szCs w:val="21"/>
              </w:rPr>
            </w:pPr>
            <w:r>
              <w:rPr>
                <w:szCs w:val="21"/>
              </w:rPr>
              <w:t xml:space="preserve">姓  </w:t>
            </w:r>
            <w:r>
              <w:rPr>
                <w:rFonts w:hint="eastAsia"/>
                <w:szCs w:val="21"/>
                <w:lang w:val="en-US" w:eastAsia="zh-CN"/>
              </w:rPr>
              <w:t>名</w:t>
            </w:r>
          </w:p>
        </w:tc>
        <w:tc>
          <w:tcPr>
            <w:tcW w:w="1280" w:type="dxa"/>
            <w:gridSpan w:val="2"/>
            <w:tcBorders>
              <w:left w:val="single" w:color="auto" w:sz="4" w:space="0"/>
              <w:right w:val="single" w:color="auto" w:sz="4" w:space="0"/>
            </w:tcBorders>
            <w:vAlign w:val="center"/>
          </w:tcPr>
          <w:p>
            <w:pPr>
              <w:spacing w:line="280" w:lineRule="exact"/>
              <w:jc w:val="center"/>
              <w:rPr>
                <w:szCs w:val="21"/>
              </w:rPr>
            </w:pPr>
            <w:r>
              <w:rPr>
                <w:rFonts w:hint="eastAsia"/>
                <w:szCs w:val="21"/>
                <w:lang w:val="en-US" w:eastAsia="zh-CN"/>
              </w:rPr>
              <w:t>廖果</w:t>
            </w:r>
          </w:p>
        </w:tc>
        <w:tc>
          <w:tcPr>
            <w:tcW w:w="2282" w:type="dxa"/>
            <w:gridSpan w:val="4"/>
            <w:tcBorders>
              <w:left w:val="single" w:color="auto" w:sz="4" w:space="0"/>
              <w:right w:val="single" w:color="auto" w:sz="4" w:space="0"/>
            </w:tcBorders>
            <w:vAlign w:val="center"/>
          </w:tcPr>
          <w:p>
            <w:pPr>
              <w:jc w:val="center"/>
              <w:rPr>
                <w:szCs w:val="21"/>
              </w:rPr>
            </w:pPr>
            <w:r>
              <w:rPr>
                <w:szCs w:val="21"/>
              </w:rPr>
              <w:t>出生年月</w:t>
            </w:r>
          </w:p>
        </w:tc>
        <w:tc>
          <w:tcPr>
            <w:tcW w:w="1875" w:type="dxa"/>
            <w:gridSpan w:val="2"/>
            <w:tcBorders>
              <w:left w:val="single" w:color="auto" w:sz="4" w:space="0"/>
              <w:right w:val="single" w:color="auto" w:sz="4" w:space="0"/>
            </w:tcBorders>
            <w:vAlign w:val="center"/>
          </w:tcPr>
          <w:p>
            <w:pPr>
              <w:spacing w:line="280" w:lineRule="exact"/>
              <w:ind w:left="-66" w:leftChars="-30" w:right="-77" w:rightChars="-35"/>
              <w:jc w:val="center"/>
              <w:rPr>
                <w:szCs w:val="21"/>
              </w:rPr>
            </w:pPr>
            <w:r>
              <w:rPr>
                <w:rFonts w:hint="eastAsia"/>
                <w:szCs w:val="21"/>
                <w:lang w:val="en-US" w:eastAsia="zh-CN"/>
              </w:rPr>
              <w:t>1984.07</w:t>
            </w: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教学工作</w:t>
            </w:r>
          </w:p>
          <w:p>
            <w:pPr>
              <w:spacing w:line="280" w:lineRule="exact"/>
              <w:jc w:val="center"/>
              <w:rPr>
                <w:szCs w:val="21"/>
              </w:rPr>
            </w:pPr>
          </w:p>
        </w:tc>
        <w:tc>
          <w:tcPr>
            <w:tcW w:w="5508" w:type="dxa"/>
            <w:gridSpan w:val="7"/>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教学工作量（其它教学工作量按本校方式计算）</w:t>
            </w:r>
          </w:p>
        </w:tc>
        <w:tc>
          <w:tcPr>
            <w:tcW w:w="6520" w:type="dxa"/>
            <w:gridSpan w:val="6"/>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1110" w:type="dxa"/>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706" w:type="dxa"/>
            <w:vMerge w:val="restart"/>
            <w:tcBorders>
              <w:left w:val="single" w:color="auto" w:sz="4" w:space="0"/>
              <w:right w:val="single" w:color="auto" w:sz="4" w:space="0"/>
            </w:tcBorders>
          </w:tcPr>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r>
              <w:rPr>
                <w:szCs w:val="21"/>
              </w:rPr>
              <w:t>教务部门</w:t>
            </w:r>
          </w:p>
          <w:p>
            <w:pPr>
              <w:spacing w:line="280" w:lineRule="exact"/>
              <w:jc w:val="center"/>
              <w:rPr>
                <w:szCs w:val="21"/>
              </w:rPr>
            </w:pPr>
            <w:r>
              <w:rPr>
                <w:szCs w:val="21"/>
              </w:rPr>
              <w:t>审核意见</w:t>
            </w:r>
          </w:p>
          <w:p>
            <w:pPr>
              <w:spacing w:line="280" w:lineRule="exact"/>
              <w:jc w:val="center"/>
              <w:rPr>
                <w:szCs w:val="21"/>
              </w:rPr>
            </w:pPr>
            <w:r>
              <w:rPr>
                <w:szCs w:val="21"/>
              </w:rPr>
              <w:t>（盖章）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p>
          <w:p>
            <w:pPr>
              <w:spacing w:line="280" w:lineRule="exact"/>
              <w:rPr>
                <w:szCs w:val="21"/>
              </w:rPr>
            </w:pPr>
          </w:p>
          <w:p>
            <w:pPr>
              <w:spacing w:line="280" w:lineRule="exact"/>
              <w:jc w:val="center"/>
              <w:rPr>
                <w:szCs w:val="21"/>
              </w:rPr>
            </w:pPr>
          </w:p>
          <w:p>
            <w:pPr>
              <w:spacing w:line="280" w:lineRule="exact"/>
              <w:jc w:val="center"/>
              <w:rPr>
                <w:szCs w:val="21"/>
              </w:rPr>
            </w:pPr>
            <w:r>
              <w:rPr>
                <w:szCs w:val="21"/>
              </w:rPr>
              <w:t>教务部门</w:t>
            </w:r>
          </w:p>
          <w:p>
            <w:pPr>
              <w:spacing w:line="280" w:lineRule="exact"/>
              <w:jc w:val="center"/>
              <w:rPr>
                <w:szCs w:val="21"/>
              </w:rPr>
            </w:pPr>
            <w:r>
              <w:rPr>
                <w:szCs w:val="21"/>
              </w:rPr>
              <w:t>审核人</w:t>
            </w:r>
          </w:p>
          <w:p>
            <w:pPr>
              <w:spacing w:line="280" w:lineRule="exact"/>
              <w:jc w:val="center"/>
              <w:rPr>
                <w:szCs w:val="21"/>
              </w:rPr>
            </w:pPr>
            <w:r>
              <w:rPr>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333" w:type="dxa"/>
            <w:vMerge w:val="restart"/>
            <w:tcBorders>
              <w:left w:val="single" w:color="auto" w:sz="4" w:space="0"/>
              <w:right w:val="single" w:color="auto" w:sz="4" w:space="0"/>
            </w:tcBorders>
            <w:vAlign w:val="center"/>
          </w:tcPr>
          <w:p>
            <w:pPr>
              <w:spacing w:line="280" w:lineRule="exact"/>
              <w:jc w:val="distribute"/>
              <w:rPr>
                <w:szCs w:val="21"/>
              </w:rPr>
            </w:pPr>
            <w:r>
              <w:rPr>
                <w:szCs w:val="21"/>
              </w:rPr>
              <w:t>性  别</w:t>
            </w:r>
          </w:p>
        </w:tc>
        <w:tc>
          <w:tcPr>
            <w:tcW w:w="1280"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lang w:val="en-US" w:eastAsia="zh-CN"/>
              </w:rPr>
              <w:t>男</w:t>
            </w:r>
          </w:p>
        </w:tc>
        <w:tc>
          <w:tcPr>
            <w:tcW w:w="2282" w:type="dxa"/>
            <w:gridSpan w:val="4"/>
            <w:vMerge w:val="restart"/>
            <w:tcBorders>
              <w:left w:val="single" w:color="auto" w:sz="4" w:space="0"/>
              <w:right w:val="single" w:color="auto" w:sz="4" w:space="0"/>
            </w:tcBorders>
            <w:vAlign w:val="center"/>
          </w:tcPr>
          <w:p>
            <w:pPr>
              <w:ind w:left="-90" w:leftChars="-41" w:right="-84" w:rightChars="-38"/>
              <w:jc w:val="center"/>
              <w:rPr>
                <w:szCs w:val="21"/>
              </w:rPr>
            </w:pPr>
            <w:r>
              <w:rPr>
                <w:szCs w:val="21"/>
              </w:rPr>
              <w:t>参加工作时间</w:t>
            </w:r>
          </w:p>
        </w:tc>
        <w:tc>
          <w:tcPr>
            <w:tcW w:w="1875" w:type="dxa"/>
            <w:gridSpan w:val="2"/>
            <w:vMerge w:val="restart"/>
            <w:tcBorders>
              <w:left w:val="single" w:color="auto" w:sz="4" w:space="0"/>
              <w:right w:val="single" w:color="auto" w:sz="4" w:space="0"/>
            </w:tcBorders>
            <w:vAlign w:val="center"/>
          </w:tcPr>
          <w:p>
            <w:pPr>
              <w:spacing w:line="280" w:lineRule="exact"/>
              <w:jc w:val="center"/>
              <w:rPr>
                <w:rFonts w:hint="eastAsia" w:ascii="仿宋" w:hAnsi="仿宋" w:eastAsia="仿宋" w:cs="仿宋"/>
                <w:spacing w:val="60"/>
                <w:kern w:val="2"/>
                <w:sz w:val="21"/>
                <w:szCs w:val="21"/>
                <w:lang w:val="en-US" w:eastAsia="zh-CN" w:bidi="ar-SA"/>
              </w:rPr>
            </w:pPr>
            <w:r>
              <w:rPr>
                <w:rFonts w:hint="eastAsia"/>
                <w:szCs w:val="21"/>
                <w:lang w:val="en-US" w:eastAsia="zh-CN"/>
              </w:rPr>
              <w:t>2006.06</w:t>
            </w:r>
          </w:p>
        </w:tc>
        <w:tc>
          <w:tcPr>
            <w:tcW w:w="722" w:type="dxa"/>
            <w:vMerge w:val="continue"/>
            <w:tcBorders>
              <w:left w:val="single" w:color="auto" w:sz="4" w:space="0"/>
              <w:right w:val="single" w:color="auto" w:sz="4" w:space="0"/>
            </w:tcBorders>
            <w:vAlign w:val="center"/>
          </w:tcPr>
          <w:p>
            <w:pPr>
              <w:spacing w:line="280" w:lineRule="exact"/>
              <w:jc w:val="center"/>
              <w:rPr>
                <w:b/>
                <w:szCs w:val="21"/>
              </w:rPr>
            </w:pPr>
          </w:p>
        </w:tc>
        <w:tc>
          <w:tcPr>
            <w:tcW w:w="1324" w:type="dxa"/>
            <w:vMerge w:val="restart"/>
            <w:tcBorders>
              <w:left w:val="single" w:color="auto" w:sz="4" w:space="0"/>
              <w:right w:val="single" w:color="auto" w:sz="4" w:space="0"/>
            </w:tcBorders>
            <w:vAlign w:val="center"/>
          </w:tcPr>
          <w:p>
            <w:pPr>
              <w:spacing w:line="280" w:lineRule="exact"/>
              <w:ind w:left="-46" w:leftChars="-21" w:right="-44" w:rightChars="-20"/>
              <w:jc w:val="center"/>
              <w:rPr>
                <w:szCs w:val="21"/>
              </w:rPr>
            </w:pPr>
            <w:r>
              <w:rPr>
                <w:szCs w:val="21"/>
              </w:rPr>
              <w:t>按年度填写教学工作量</w:t>
            </w:r>
          </w:p>
        </w:tc>
        <w:tc>
          <w:tcPr>
            <w:tcW w:w="939" w:type="dxa"/>
            <w:vMerge w:val="restart"/>
            <w:tcBorders>
              <w:left w:val="single" w:color="auto" w:sz="4" w:space="0"/>
              <w:right w:val="single" w:color="auto" w:sz="4" w:space="0"/>
            </w:tcBorders>
            <w:vAlign w:val="center"/>
          </w:tcPr>
          <w:p>
            <w:pPr>
              <w:spacing w:line="280" w:lineRule="exact"/>
              <w:ind w:left="-94" w:right="-64" w:rightChars="-29"/>
              <w:jc w:val="center"/>
              <w:rPr>
                <w:szCs w:val="21"/>
              </w:rPr>
            </w:pPr>
            <w:r>
              <w:rPr>
                <w:szCs w:val="21"/>
              </w:rPr>
              <w:t>年度</w:t>
            </w:r>
          </w:p>
        </w:tc>
        <w:tc>
          <w:tcPr>
            <w:tcW w:w="1980" w:type="dxa"/>
            <w:gridSpan w:val="3"/>
            <w:tcBorders>
              <w:left w:val="single" w:color="auto" w:sz="4" w:space="0"/>
              <w:right w:val="single" w:color="auto" w:sz="4" w:space="0"/>
            </w:tcBorders>
            <w:vAlign w:val="center"/>
          </w:tcPr>
          <w:p>
            <w:pPr>
              <w:spacing w:line="280" w:lineRule="exact"/>
              <w:ind w:left="-67" w:right="-79" w:rightChars="-36"/>
              <w:jc w:val="center"/>
              <w:rPr>
                <w:szCs w:val="21"/>
              </w:rPr>
            </w:pPr>
            <w:r>
              <w:rPr>
                <w:szCs w:val="21"/>
              </w:rPr>
              <w:t>课堂教学（学时）</w:t>
            </w:r>
          </w:p>
        </w:tc>
        <w:tc>
          <w:tcPr>
            <w:tcW w:w="1265" w:type="dxa"/>
            <w:gridSpan w:val="2"/>
            <w:vMerge w:val="restart"/>
            <w:tcBorders>
              <w:left w:val="single" w:color="auto" w:sz="4" w:space="0"/>
              <w:right w:val="single" w:color="auto" w:sz="4" w:space="0"/>
            </w:tcBorders>
            <w:vAlign w:val="center"/>
          </w:tcPr>
          <w:p>
            <w:pPr>
              <w:spacing w:line="280" w:lineRule="exact"/>
              <w:ind w:left="-66" w:leftChars="-30" w:right="-62" w:rightChars="-28"/>
              <w:jc w:val="center"/>
              <w:rPr>
                <w:szCs w:val="21"/>
              </w:rPr>
            </w:pPr>
            <w:r>
              <w:rPr>
                <w:szCs w:val="21"/>
              </w:rPr>
              <w:t>其它教学工作量</w:t>
            </w:r>
          </w:p>
        </w:tc>
        <w:tc>
          <w:tcPr>
            <w:tcW w:w="6520" w:type="dxa"/>
            <w:gridSpan w:val="6"/>
            <w:vMerge w:val="restart"/>
            <w:tcBorders>
              <w:left w:val="single" w:color="auto" w:sz="4" w:space="0"/>
              <w:right w:val="single" w:color="auto" w:sz="4" w:space="0"/>
            </w:tcBorders>
            <w:vAlign w:val="center"/>
          </w:tcPr>
          <w:p>
            <w:pPr>
              <w:spacing w:line="280" w:lineRule="exact"/>
              <w:ind w:firstLine="440" w:firstLineChars="200"/>
              <w:jc w:val="left"/>
              <w:rPr>
                <w:rFonts w:hint="eastAsia"/>
                <w:szCs w:val="21"/>
                <w:lang w:val="en-US" w:eastAsia="zh-CN"/>
              </w:rPr>
            </w:pPr>
            <w:r>
              <w:rPr>
                <w:rFonts w:hint="eastAsia"/>
                <w:szCs w:val="21"/>
                <w:lang w:val="en-US" w:eastAsia="zh-CN"/>
              </w:rPr>
              <w:t>1、2014—2019年度完成艺术类课程教学，共计802课时（其中兼职人员课时为每年度80节，5年共超过400节课）；</w:t>
            </w:r>
          </w:p>
          <w:p>
            <w:pPr>
              <w:spacing w:line="280" w:lineRule="exact"/>
              <w:ind w:firstLine="440" w:firstLineChars="200"/>
              <w:jc w:val="left"/>
              <w:rPr>
                <w:rFonts w:hint="eastAsia"/>
                <w:szCs w:val="21"/>
                <w:lang w:val="en-US" w:eastAsia="zh-CN"/>
              </w:rPr>
            </w:pPr>
            <w:r>
              <w:rPr>
                <w:rFonts w:hint="eastAsia"/>
                <w:szCs w:val="21"/>
                <w:lang w:val="en-US" w:eastAsia="zh-CN"/>
              </w:rPr>
              <w:t>2、2014年度—2016年度学校年终考核为优秀，2017年度—2018年度学校教学质量考核为优秀；</w:t>
            </w:r>
          </w:p>
          <w:p>
            <w:pPr>
              <w:spacing w:line="280" w:lineRule="exact"/>
              <w:ind w:firstLine="440" w:firstLineChars="200"/>
              <w:jc w:val="left"/>
              <w:rPr>
                <w:rFonts w:hint="eastAsia"/>
                <w:szCs w:val="21"/>
                <w:lang w:val="en-US" w:eastAsia="zh-CN"/>
              </w:rPr>
            </w:pPr>
            <w:r>
              <w:rPr>
                <w:rFonts w:hint="eastAsia"/>
                <w:szCs w:val="21"/>
                <w:lang w:val="en-US" w:eastAsia="zh-CN"/>
              </w:rPr>
              <w:t>3、2017年成功申报湖南省省教育厅科学研究项目一般课题1项，已经立项；</w:t>
            </w:r>
          </w:p>
          <w:p>
            <w:pPr>
              <w:spacing w:line="280" w:lineRule="exact"/>
              <w:ind w:firstLine="440" w:firstLineChars="200"/>
              <w:jc w:val="left"/>
              <w:rPr>
                <w:rFonts w:hint="eastAsia"/>
                <w:szCs w:val="21"/>
                <w:lang w:val="en-US" w:eastAsia="zh-CN"/>
              </w:rPr>
            </w:pPr>
            <w:r>
              <w:rPr>
                <w:rFonts w:hint="eastAsia"/>
                <w:szCs w:val="21"/>
                <w:lang w:val="en-US" w:eastAsia="zh-CN"/>
              </w:rPr>
              <w:t>4、2013年—2015年主持完成学校教学重点项目1项《大学生社团活动系统设计与实践》（校级），总排名第一；参与完成学校教学重点项目1项《学生综合素质培养》（校级），总排名第四；参与申报衡阳市青年创新示范基地项目1项（市级），总排名第五；参与申报</w:t>
            </w:r>
            <w:bookmarkStart w:id="0" w:name="_GoBack"/>
            <w:bookmarkEnd w:id="0"/>
            <w:r>
              <w:rPr>
                <w:rFonts w:hint="eastAsia"/>
                <w:szCs w:val="21"/>
                <w:lang w:val="en-US" w:eastAsia="zh-CN"/>
              </w:rPr>
              <w:t>衡阳市青年创业示范基地项目1项（市级），总排名第五；</w:t>
            </w:r>
          </w:p>
          <w:p>
            <w:pPr>
              <w:spacing w:line="280" w:lineRule="exact"/>
              <w:ind w:firstLine="440" w:firstLineChars="200"/>
              <w:jc w:val="left"/>
              <w:rPr>
                <w:rFonts w:hint="eastAsia"/>
                <w:szCs w:val="21"/>
                <w:lang w:val="en-US" w:eastAsia="zh-CN"/>
              </w:rPr>
            </w:pPr>
            <w:r>
              <w:rPr>
                <w:rFonts w:hint="eastAsia"/>
                <w:szCs w:val="21"/>
                <w:lang w:val="en-US" w:eastAsia="zh-CN"/>
              </w:rPr>
              <w:t>5、2015年7月，论文《湖南高速铁路职业技术学院大学生社团系统设计与实践》在中国交通教育研究会职业教育分会素质教育委员会年会论文评比中被评为优秀奖；</w:t>
            </w:r>
          </w:p>
          <w:p>
            <w:pPr>
              <w:spacing w:line="280" w:lineRule="exact"/>
              <w:ind w:firstLine="440" w:firstLineChars="200"/>
              <w:jc w:val="left"/>
              <w:rPr>
                <w:rFonts w:hint="eastAsia"/>
                <w:szCs w:val="21"/>
                <w:lang w:val="en-US" w:eastAsia="zh-CN"/>
              </w:rPr>
            </w:pPr>
            <w:r>
              <w:rPr>
                <w:rFonts w:hint="eastAsia"/>
                <w:szCs w:val="21"/>
                <w:lang w:val="en-US" w:eastAsia="zh-CN"/>
              </w:rPr>
              <w:t>6、2016年7月，参加衡阳市中等职业学校“创新杯”信息化教学设计和课堂教学公共基础课素质教育组课程说课比赛，获三等奖；</w:t>
            </w:r>
          </w:p>
          <w:p>
            <w:pPr>
              <w:spacing w:line="280" w:lineRule="exact"/>
              <w:ind w:firstLine="440" w:firstLineChars="200"/>
              <w:jc w:val="left"/>
              <w:rPr>
                <w:rFonts w:hint="eastAsia" w:ascii="方正书宋简体" w:hAnsi="Times New Roman" w:eastAsia="方正书宋简体" w:cs="Times New Roman"/>
                <w:spacing w:val="60"/>
                <w:kern w:val="2"/>
                <w:sz w:val="18"/>
                <w:szCs w:val="18"/>
                <w:lang w:val="en-US" w:eastAsia="zh-CN" w:bidi="ar-SA"/>
              </w:rPr>
            </w:pPr>
            <w:r>
              <w:rPr>
                <w:rFonts w:hint="eastAsia"/>
                <w:szCs w:val="21"/>
                <w:lang w:val="en-US" w:eastAsia="zh-CN"/>
              </w:rPr>
              <w:t>7、2019年9月，课程教学《个人仪态概论及基本姿态讲解》参加学校2019年教师职业能力大赛，荣获学校二等奖，本人排名第二。</w:t>
            </w:r>
          </w:p>
        </w:tc>
        <w:tc>
          <w:tcPr>
            <w:tcW w:w="1110" w:type="dxa"/>
            <w:vMerge w:val="restart"/>
            <w:tcBorders>
              <w:left w:val="single" w:color="auto" w:sz="4" w:space="0"/>
              <w:right w:val="single" w:color="auto" w:sz="4" w:space="0"/>
            </w:tcBorders>
            <w:vAlign w:val="center"/>
          </w:tcPr>
          <w:p>
            <w:pPr>
              <w:spacing w:line="280" w:lineRule="exact"/>
              <w:ind w:firstLine="220" w:firstLineChars="100"/>
              <w:jc w:val="both"/>
              <w:rPr>
                <w:sz w:val="18"/>
                <w:szCs w:val="18"/>
                <w:lang w:val="en-US"/>
              </w:rPr>
            </w:pPr>
            <w:r>
              <w:rPr>
                <w:rFonts w:hint="eastAsia"/>
                <w:szCs w:val="21"/>
                <w:lang w:val="en-US" w:eastAsia="zh-CN"/>
              </w:rPr>
              <w:t>2018年与艺术教研室粟炜皓老师签订了老带新协议，并进行了指导，该老师在学校2018年度教学测评中为A等。</w:t>
            </w:r>
          </w:p>
        </w:tc>
        <w:tc>
          <w:tcPr>
            <w:tcW w:w="1706" w:type="dxa"/>
            <w:vMerge w:val="continue"/>
            <w:tcBorders>
              <w:left w:val="single" w:color="auto" w:sz="4" w:space="0"/>
              <w:right w:val="single" w:color="auto" w:sz="4" w:space="0"/>
            </w:tcBorders>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3"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0"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282"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875"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rFonts w:hint="eastAsia" w:ascii="仿宋" w:hAnsi="仿宋" w:eastAsia="仿宋" w:cs="仿宋"/>
                <w:spacing w:val="60"/>
                <w:kern w:val="2"/>
                <w:sz w:val="21"/>
                <w:szCs w:val="21"/>
                <w:lang w:val="en-US" w:eastAsia="zh-CN" w:bidi="ar-SA"/>
              </w:rPr>
            </w:pP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39"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05" w:type="dxa"/>
            <w:vMerge w:val="restart"/>
            <w:tcBorders>
              <w:top w:val="single" w:color="auto" w:sz="4" w:space="0"/>
              <w:left w:val="single" w:color="auto" w:sz="4" w:space="0"/>
              <w:right w:val="single" w:color="auto" w:sz="4" w:space="0"/>
            </w:tcBorders>
            <w:vAlign w:val="center"/>
          </w:tcPr>
          <w:p>
            <w:pPr>
              <w:spacing w:line="280" w:lineRule="exact"/>
              <w:ind w:left="-95" w:right="-77" w:rightChars="-35"/>
              <w:jc w:val="center"/>
              <w:rPr>
                <w:szCs w:val="21"/>
              </w:rPr>
            </w:pPr>
            <w:r>
              <w:rPr>
                <w:szCs w:val="21"/>
              </w:rPr>
              <w:t>理论教学</w:t>
            </w:r>
          </w:p>
        </w:tc>
        <w:tc>
          <w:tcPr>
            <w:tcW w:w="975" w:type="dxa"/>
            <w:gridSpan w:val="2"/>
            <w:vMerge w:val="restart"/>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26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6520" w:type="dxa"/>
            <w:gridSpan w:val="6"/>
            <w:vMerge w:val="continue"/>
            <w:tcBorders>
              <w:left w:val="single" w:color="auto" w:sz="4" w:space="0"/>
              <w:right w:val="single" w:color="auto" w:sz="4" w:space="0"/>
            </w:tcBorders>
            <w:vAlign w:val="center"/>
          </w:tcPr>
          <w:p>
            <w:pPr>
              <w:spacing w:line="280" w:lineRule="exact"/>
              <w:ind w:left="180"/>
              <w:jc w:val="center"/>
              <w:rPr>
                <w:szCs w:val="21"/>
              </w:rPr>
            </w:pPr>
          </w:p>
        </w:tc>
        <w:tc>
          <w:tcPr>
            <w:tcW w:w="111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613" w:type="dxa"/>
            <w:gridSpan w:val="3"/>
            <w:vMerge w:val="restart"/>
            <w:tcBorders>
              <w:top w:val="single" w:color="auto" w:sz="4" w:space="0"/>
              <w:left w:val="single" w:color="auto" w:sz="4" w:space="0"/>
              <w:right w:val="single" w:color="auto" w:sz="4" w:space="0"/>
            </w:tcBorders>
            <w:vAlign w:val="center"/>
          </w:tcPr>
          <w:p>
            <w:pPr>
              <w:spacing w:line="280" w:lineRule="exact"/>
              <w:ind w:left="-70" w:leftChars="-32" w:right="-73" w:rightChars="-33"/>
              <w:jc w:val="center"/>
              <w:rPr>
                <w:szCs w:val="21"/>
              </w:rPr>
            </w:pPr>
            <w:r>
              <w:rPr>
                <w:spacing w:val="-20"/>
                <w:szCs w:val="21"/>
              </w:rPr>
              <w:t>现任专业技术职务</w:t>
            </w:r>
          </w:p>
        </w:tc>
        <w:tc>
          <w:tcPr>
            <w:tcW w:w="1605" w:type="dxa"/>
            <w:gridSpan w:val="3"/>
            <w:vMerge w:val="restart"/>
            <w:tcBorders>
              <w:top w:val="single" w:color="auto" w:sz="4" w:space="0"/>
              <w:left w:val="single" w:color="auto" w:sz="4" w:space="0"/>
              <w:right w:val="single" w:color="auto" w:sz="4" w:space="0"/>
            </w:tcBorders>
            <w:vAlign w:val="center"/>
          </w:tcPr>
          <w:p>
            <w:pPr>
              <w:ind w:left="-13" w:leftChars="-51" w:right="-112" w:rightChars="-51" w:hanging="99" w:hangingChars="45"/>
              <w:jc w:val="center"/>
              <w:rPr>
                <w:szCs w:val="21"/>
              </w:rPr>
            </w:pPr>
            <w:r>
              <w:rPr>
                <w:rFonts w:hint="eastAsia"/>
                <w:szCs w:val="21"/>
                <w:lang w:val="en-US" w:eastAsia="zh-CN"/>
              </w:rPr>
              <w:t>讲师</w:t>
            </w:r>
          </w:p>
        </w:tc>
        <w:tc>
          <w:tcPr>
            <w:tcW w:w="677" w:type="dxa"/>
            <w:vMerge w:val="restart"/>
            <w:tcBorders>
              <w:top w:val="single" w:color="auto" w:sz="4" w:space="0"/>
              <w:left w:val="single" w:color="auto" w:sz="4" w:space="0"/>
              <w:right w:val="single" w:color="auto" w:sz="4" w:space="0"/>
            </w:tcBorders>
            <w:vAlign w:val="center"/>
          </w:tcPr>
          <w:p>
            <w:pPr>
              <w:ind w:left="-75" w:leftChars="-34" w:right="-64" w:rightChars="-29"/>
              <w:jc w:val="center"/>
              <w:rPr>
                <w:szCs w:val="21"/>
              </w:rPr>
            </w:pPr>
            <w:r>
              <w:rPr>
                <w:szCs w:val="21"/>
              </w:rPr>
              <w:t>获得时间</w:t>
            </w:r>
          </w:p>
        </w:tc>
        <w:tc>
          <w:tcPr>
            <w:tcW w:w="1875" w:type="dxa"/>
            <w:gridSpan w:val="2"/>
            <w:vMerge w:val="restart"/>
            <w:tcBorders>
              <w:top w:val="single" w:color="auto" w:sz="4" w:space="0"/>
              <w:left w:val="single" w:color="auto" w:sz="4" w:space="0"/>
              <w:right w:val="single" w:color="auto" w:sz="4" w:space="0"/>
            </w:tcBorders>
            <w:vAlign w:val="center"/>
          </w:tcPr>
          <w:p>
            <w:pPr>
              <w:spacing w:line="280" w:lineRule="exact"/>
              <w:jc w:val="center"/>
              <w:rPr>
                <w:rFonts w:hint="eastAsia" w:ascii="仿宋" w:hAnsi="仿宋" w:eastAsia="仿宋" w:cs="仿宋"/>
                <w:spacing w:val="60"/>
                <w:kern w:val="2"/>
                <w:sz w:val="21"/>
                <w:szCs w:val="21"/>
                <w:lang w:val="en-US" w:eastAsia="zh-CN" w:bidi="ar-SA"/>
              </w:rPr>
            </w:pPr>
            <w:r>
              <w:rPr>
                <w:rFonts w:hint="eastAsia"/>
                <w:szCs w:val="21"/>
                <w:lang w:val="en-US" w:eastAsia="zh-CN"/>
              </w:rPr>
              <w:t>2012.12</w:t>
            </w: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39"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0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6520" w:type="dxa"/>
            <w:gridSpan w:val="6"/>
            <w:vMerge w:val="continue"/>
            <w:tcBorders>
              <w:left w:val="single" w:color="auto" w:sz="4" w:space="0"/>
              <w:right w:val="single" w:color="auto" w:sz="4" w:space="0"/>
            </w:tcBorders>
            <w:vAlign w:val="center"/>
          </w:tcPr>
          <w:p>
            <w:pPr>
              <w:spacing w:line="280" w:lineRule="exact"/>
              <w:ind w:left="180"/>
              <w:jc w:val="center"/>
              <w:rPr>
                <w:szCs w:val="21"/>
              </w:rPr>
            </w:pPr>
          </w:p>
        </w:tc>
        <w:tc>
          <w:tcPr>
            <w:tcW w:w="111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613"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05" w:type="dxa"/>
            <w:gridSpan w:val="3"/>
            <w:vMerge w:val="continue"/>
            <w:tcBorders>
              <w:left w:val="single" w:color="auto" w:sz="4" w:space="0"/>
              <w:bottom w:val="single" w:color="auto" w:sz="4" w:space="0"/>
              <w:right w:val="single" w:color="auto" w:sz="4" w:space="0"/>
            </w:tcBorders>
            <w:vAlign w:val="center"/>
          </w:tcPr>
          <w:p>
            <w:pPr>
              <w:ind w:left="-13" w:leftChars="-51" w:right="-112" w:rightChars="-51" w:hanging="99" w:hangingChars="45"/>
              <w:jc w:val="center"/>
              <w:rPr>
                <w:szCs w:val="21"/>
              </w:rPr>
            </w:pPr>
          </w:p>
        </w:tc>
        <w:tc>
          <w:tcPr>
            <w:tcW w:w="677" w:type="dxa"/>
            <w:vMerge w:val="continue"/>
            <w:tcBorders>
              <w:left w:val="single" w:color="auto" w:sz="4" w:space="0"/>
              <w:bottom w:val="single" w:color="auto" w:sz="4" w:space="0"/>
              <w:right w:val="single" w:color="auto" w:sz="4" w:space="0"/>
            </w:tcBorders>
            <w:vAlign w:val="center"/>
          </w:tcPr>
          <w:p>
            <w:pPr>
              <w:ind w:left="-13" w:leftChars="-51" w:right="-112" w:rightChars="-51" w:hanging="99" w:hangingChars="45"/>
              <w:jc w:val="center"/>
              <w:rPr>
                <w:szCs w:val="21"/>
              </w:rPr>
            </w:pPr>
          </w:p>
        </w:tc>
        <w:tc>
          <w:tcPr>
            <w:tcW w:w="1875" w:type="dxa"/>
            <w:gridSpan w:val="2"/>
            <w:vMerge w:val="continue"/>
            <w:tcBorders>
              <w:left w:val="single" w:color="auto" w:sz="4" w:space="0"/>
              <w:bottom w:val="single" w:color="auto" w:sz="4" w:space="0"/>
              <w:right w:val="single" w:color="auto" w:sz="4" w:space="0"/>
            </w:tcBorders>
            <w:vAlign w:val="center"/>
          </w:tcPr>
          <w:p>
            <w:pPr>
              <w:spacing w:line="280" w:lineRule="exact"/>
              <w:ind w:left="-66" w:leftChars="-30" w:right="-77" w:rightChars="-35"/>
              <w:jc w:val="center"/>
              <w:rPr>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39" w:type="dxa"/>
            <w:vMerge w:val="restart"/>
            <w:tcBorders>
              <w:left w:val="single" w:color="auto" w:sz="4" w:space="0"/>
              <w:right w:val="single" w:color="auto" w:sz="4" w:space="0"/>
            </w:tcBorders>
            <w:vAlign w:val="center"/>
          </w:tcPr>
          <w:p>
            <w:pPr>
              <w:spacing w:line="280" w:lineRule="exact"/>
              <w:jc w:val="center"/>
              <w:rPr>
                <w:rFonts w:hint="default"/>
                <w:szCs w:val="21"/>
                <w:lang w:val="en-US" w:eastAsia="zh-CN"/>
              </w:rPr>
            </w:pPr>
            <w:r>
              <w:rPr>
                <w:rFonts w:hint="eastAsia"/>
                <w:szCs w:val="21"/>
                <w:lang w:val="en-US" w:eastAsia="zh-CN"/>
              </w:rPr>
              <w:t>2014</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2015</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2016</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2017</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2018</w:t>
            </w:r>
          </w:p>
          <w:p>
            <w:pPr>
              <w:spacing w:line="280" w:lineRule="exact"/>
              <w:jc w:val="center"/>
              <w:rPr>
                <w:rFonts w:hint="eastAsia"/>
                <w:szCs w:val="21"/>
                <w:lang w:val="en-US" w:eastAsia="zh-CN"/>
              </w:rPr>
            </w:pPr>
          </w:p>
          <w:p>
            <w:pPr>
              <w:spacing w:line="280" w:lineRule="exact"/>
              <w:jc w:val="center"/>
              <w:rPr>
                <w:rFonts w:hint="default"/>
                <w:szCs w:val="21"/>
                <w:lang w:val="en-US" w:eastAsia="zh-CN"/>
              </w:rPr>
            </w:pPr>
            <w:r>
              <w:rPr>
                <w:rFonts w:hint="eastAsia"/>
                <w:szCs w:val="21"/>
                <w:lang w:val="en-US" w:eastAsia="zh-CN"/>
              </w:rPr>
              <w:t>2019</w:t>
            </w:r>
          </w:p>
        </w:tc>
        <w:tc>
          <w:tcPr>
            <w:tcW w:w="1005" w:type="dxa"/>
            <w:vMerge w:val="restart"/>
            <w:tcBorders>
              <w:left w:val="single" w:color="auto" w:sz="4" w:space="0"/>
              <w:right w:val="single" w:color="auto" w:sz="4" w:space="0"/>
            </w:tcBorders>
            <w:vAlign w:val="center"/>
          </w:tcPr>
          <w:p>
            <w:pPr>
              <w:spacing w:line="280" w:lineRule="exact"/>
              <w:jc w:val="center"/>
              <w:rPr>
                <w:rFonts w:hint="default"/>
                <w:szCs w:val="21"/>
                <w:lang w:val="en-US" w:eastAsia="zh-CN"/>
              </w:rPr>
            </w:pPr>
            <w:r>
              <w:rPr>
                <w:rFonts w:hint="eastAsia"/>
                <w:szCs w:val="21"/>
                <w:lang w:val="en-US" w:eastAsia="zh-CN"/>
              </w:rPr>
              <w:t>88</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148</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134</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120</w:t>
            </w:r>
          </w:p>
          <w:p>
            <w:pPr>
              <w:spacing w:line="280" w:lineRule="exact"/>
              <w:jc w:val="center"/>
              <w:rPr>
                <w:rFonts w:hint="eastAsia"/>
                <w:szCs w:val="21"/>
                <w:lang w:val="en-US" w:eastAsia="zh-CN"/>
              </w:rPr>
            </w:pPr>
          </w:p>
          <w:p>
            <w:pPr>
              <w:spacing w:line="280" w:lineRule="exact"/>
              <w:jc w:val="center"/>
              <w:rPr>
                <w:rFonts w:hint="eastAsia"/>
                <w:szCs w:val="21"/>
                <w:lang w:val="en-US" w:eastAsia="zh-CN"/>
              </w:rPr>
            </w:pPr>
            <w:r>
              <w:rPr>
                <w:rFonts w:hint="eastAsia"/>
                <w:szCs w:val="21"/>
                <w:lang w:val="en-US" w:eastAsia="zh-CN"/>
              </w:rPr>
              <w:t>192</w:t>
            </w:r>
          </w:p>
          <w:p>
            <w:pPr>
              <w:spacing w:line="280" w:lineRule="exact"/>
              <w:jc w:val="center"/>
              <w:rPr>
                <w:rFonts w:hint="eastAsia"/>
                <w:szCs w:val="21"/>
                <w:lang w:val="en-US" w:eastAsia="zh-CN"/>
              </w:rPr>
            </w:pPr>
          </w:p>
          <w:p>
            <w:pPr>
              <w:spacing w:line="280" w:lineRule="exact"/>
              <w:jc w:val="center"/>
              <w:rPr>
                <w:rFonts w:hint="default"/>
                <w:szCs w:val="21"/>
                <w:lang w:val="en-US" w:eastAsia="zh-CN"/>
              </w:rPr>
            </w:pPr>
            <w:r>
              <w:rPr>
                <w:rFonts w:hint="eastAsia"/>
                <w:szCs w:val="21"/>
                <w:lang w:val="en-US" w:eastAsia="zh-CN"/>
              </w:rPr>
              <w:t>120</w:t>
            </w:r>
          </w:p>
        </w:tc>
        <w:tc>
          <w:tcPr>
            <w:tcW w:w="975" w:type="dxa"/>
            <w:gridSpan w:val="2"/>
            <w:vMerge w:val="restart"/>
            <w:tcBorders>
              <w:left w:val="single" w:color="auto" w:sz="4" w:space="0"/>
              <w:right w:val="single" w:color="auto" w:sz="4" w:space="0"/>
            </w:tcBorders>
            <w:vAlign w:val="center"/>
          </w:tcPr>
          <w:p>
            <w:pPr>
              <w:spacing w:line="280" w:lineRule="exact"/>
              <w:jc w:val="center"/>
              <w:rPr>
                <w:rFonts w:hint="eastAsia" w:ascii="仿宋" w:hAnsi="仿宋" w:eastAsia="仿宋" w:cs="仿宋"/>
                <w:spacing w:val="60"/>
                <w:kern w:val="2"/>
                <w:sz w:val="21"/>
                <w:szCs w:val="21"/>
                <w:lang w:val="en-US" w:eastAsia="zh-CN" w:bidi="ar-SA"/>
              </w:rPr>
            </w:pPr>
          </w:p>
        </w:tc>
        <w:tc>
          <w:tcPr>
            <w:tcW w:w="1265" w:type="dxa"/>
            <w:gridSpan w:val="2"/>
            <w:vMerge w:val="restart"/>
            <w:tcBorders>
              <w:left w:val="single" w:color="auto" w:sz="4" w:space="0"/>
              <w:right w:val="single" w:color="auto" w:sz="4" w:space="0"/>
            </w:tcBorders>
            <w:vAlign w:val="center"/>
          </w:tcPr>
          <w:p>
            <w:pPr>
              <w:spacing w:line="280" w:lineRule="exact"/>
              <w:jc w:val="left"/>
              <w:rPr>
                <w:rFonts w:hint="eastAsia" w:ascii="仿宋" w:hAnsi="仿宋" w:eastAsia="仿宋" w:cs="仿宋"/>
                <w:spacing w:val="60"/>
                <w:kern w:val="2"/>
                <w:sz w:val="21"/>
                <w:szCs w:val="21"/>
                <w:lang w:val="en-US" w:eastAsia="zh-CN" w:bidi="ar-SA"/>
              </w:rPr>
            </w:pPr>
          </w:p>
        </w:tc>
        <w:tc>
          <w:tcPr>
            <w:tcW w:w="6520" w:type="dxa"/>
            <w:gridSpan w:val="6"/>
            <w:vMerge w:val="continue"/>
            <w:tcBorders>
              <w:left w:val="single" w:color="auto" w:sz="4" w:space="0"/>
              <w:right w:val="single" w:color="auto" w:sz="4" w:space="0"/>
            </w:tcBorders>
            <w:vAlign w:val="center"/>
          </w:tcPr>
          <w:p>
            <w:pPr>
              <w:spacing w:line="280" w:lineRule="exact"/>
              <w:ind w:left="180"/>
              <w:jc w:val="center"/>
              <w:rPr>
                <w:szCs w:val="21"/>
              </w:rPr>
            </w:pPr>
          </w:p>
        </w:tc>
        <w:tc>
          <w:tcPr>
            <w:tcW w:w="111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333" w:type="dxa"/>
            <w:tcBorders>
              <w:left w:val="single" w:color="auto" w:sz="4" w:space="0"/>
              <w:bottom w:val="single" w:color="auto" w:sz="4" w:space="0"/>
              <w:right w:val="single" w:color="auto" w:sz="4" w:space="0"/>
            </w:tcBorders>
            <w:vAlign w:val="center"/>
          </w:tcPr>
          <w:p>
            <w:pPr>
              <w:spacing w:line="280" w:lineRule="exact"/>
              <w:jc w:val="distribute"/>
              <w:rPr>
                <w:szCs w:val="21"/>
              </w:rPr>
            </w:pPr>
            <w:r>
              <w:rPr>
                <w:szCs w:val="21"/>
              </w:rPr>
              <w:t>外语成绩</w:t>
            </w:r>
          </w:p>
        </w:tc>
        <w:tc>
          <w:tcPr>
            <w:tcW w:w="1280"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lang w:val="en-US" w:eastAsia="zh-CN"/>
              </w:rPr>
              <w:t>A级71</w:t>
            </w:r>
          </w:p>
        </w:tc>
        <w:tc>
          <w:tcPr>
            <w:tcW w:w="2282" w:type="dxa"/>
            <w:gridSpan w:val="4"/>
            <w:tcBorders>
              <w:left w:val="single" w:color="auto" w:sz="4" w:space="0"/>
              <w:bottom w:val="single" w:color="auto" w:sz="4" w:space="0"/>
              <w:right w:val="single" w:color="auto" w:sz="4" w:space="0"/>
            </w:tcBorders>
            <w:vAlign w:val="center"/>
          </w:tcPr>
          <w:p>
            <w:pPr>
              <w:jc w:val="center"/>
              <w:rPr>
                <w:szCs w:val="21"/>
              </w:rPr>
            </w:pPr>
            <w:r>
              <w:rPr>
                <w:spacing w:val="-20"/>
                <w:szCs w:val="21"/>
              </w:rPr>
              <w:t>计算机成绩</w:t>
            </w:r>
          </w:p>
        </w:tc>
        <w:tc>
          <w:tcPr>
            <w:tcW w:w="1875" w:type="dxa"/>
            <w:gridSpan w:val="2"/>
            <w:tcBorders>
              <w:left w:val="single" w:color="auto" w:sz="4" w:space="0"/>
              <w:bottom w:val="single" w:color="auto" w:sz="4" w:space="0"/>
              <w:right w:val="single" w:color="auto" w:sz="4" w:space="0"/>
            </w:tcBorders>
            <w:vAlign w:val="center"/>
          </w:tcPr>
          <w:p>
            <w:pPr>
              <w:spacing w:line="280" w:lineRule="exact"/>
              <w:ind w:left="-66" w:leftChars="-30" w:right="-77" w:rightChars="-35"/>
              <w:jc w:val="center"/>
              <w:rPr>
                <w:rFonts w:hint="eastAsia" w:ascii="方正书宋简体" w:hAnsi="Times New Roman" w:eastAsia="方正书宋简体" w:cs="Times New Roman"/>
                <w:spacing w:val="60"/>
                <w:kern w:val="2"/>
                <w:sz w:val="18"/>
                <w:szCs w:val="18"/>
                <w:lang w:val="en-US" w:eastAsia="zh-CN" w:bidi="ar-SA"/>
              </w:rPr>
            </w:pPr>
            <w:r>
              <w:rPr>
                <w:rFonts w:hint="eastAsia"/>
                <w:szCs w:val="21"/>
                <w:lang w:val="en-US" w:eastAsia="zh-CN"/>
              </w:rPr>
              <w:t>3个模块通过</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324"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39"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00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75"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65"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6520" w:type="dxa"/>
            <w:gridSpan w:val="6"/>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110"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706"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3" w:type="dxa"/>
            <w:vMerge w:val="restart"/>
            <w:tcBorders>
              <w:left w:val="single" w:color="auto" w:sz="4" w:space="0"/>
              <w:right w:val="single" w:color="auto" w:sz="4" w:space="0"/>
            </w:tcBorders>
            <w:vAlign w:val="center"/>
          </w:tcPr>
          <w:p>
            <w:pPr>
              <w:spacing w:line="280" w:lineRule="exact"/>
              <w:jc w:val="distribute"/>
              <w:rPr>
                <w:szCs w:val="21"/>
              </w:rPr>
            </w:pPr>
            <w:r>
              <w:rPr>
                <w:szCs w:val="21"/>
              </w:rPr>
              <w:t>最高学历</w:t>
            </w:r>
          </w:p>
        </w:tc>
        <w:tc>
          <w:tcPr>
            <w:tcW w:w="1280"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lang w:val="en-US" w:eastAsia="zh-CN"/>
              </w:rPr>
              <w:t>本科</w:t>
            </w:r>
          </w:p>
        </w:tc>
        <w:tc>
          <w:tcPr>
            <w:tcW w:w="2282" w:type="dxa"/>
            <w:gridSpan w:val="4"/>
            <w:vMerge w:val="restart"/>
            <w:tcBorders>
              <w:left w:val="single" w:color="auto" w:sz="4" w:space="0"/>
              <w:right w:val="single" w:color="auto" w:sz="4" w:space="0"/>
            </w:tcBorders>
            <w:vAlign w:val="center"/>
          </w:tcPr>
          <w:p>
            <w:pPr>
              <w:jc w:val="center"/>
              <w:rPr>
                <w:szCs w:val="21"/>
              </w:rPr>
            </w:pPr>
            <w:r>
              <w:rPr>
                <w:szCs w:val="21"/>
              </w:rPr>
              <w:t>最高学位</w:t>
            </w:r>
          </w:p>
        </w:tc>
        <w:tc>
          <w:tcPr>
            <w:tcW w:w="1875" w:type="dxa"/>
            <w:gridSpan w:val="2"/>
            <w:vMerge w:val="restart"/>
            <w:tcBorders>
              <w:left w:val="single" w:color="auto" w:sz="4" w:space="0"/>
              <w:right w:val="single" w:color="auto" w:sz="4" w:space="0"/>
            </w:tcBorders>
            <w:vAlign w:val="center"/>
          </w:tcPr>
          <w:p>
            <w:pPr>
              <w:spacing w:line="280" w:lineRule="exact"/>
              <w:ind w:left="-66" w:leftChars="-30" w:right="-77" w:rightChars="-35"/>
              <w:jc w:val="center"/>
              <w:rPr>
                <w:szCs w:val="21"/>
              </w:rPr>
            </w:pPr>
            <w:r>
              <w:rPr>
                <w:rFonts w:hint="eastAsia"/>
                <w:szCs w:val="21"/>
                <w:lang w:val="en-US" w:eastAsia="zh-CN"/>
              </w:rPr>
              <w:t>硕士</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39"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0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6520" w:type="dxa"/>
            <w:gridSpan w:val="6"/>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110"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706" w:type="dxa"/>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3"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0"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282"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875" w:type="dxa"/>
            <w:gridSpan w:val="2"/>
            <w:vMerge w:val="continue"/>
            <w:tcBorders>
              <w:left w:val="single" w:color="auto" w:sz="4" w:space="0"/>
              <w:bottom w:val="single" w:color="auto" w:sz="4" w:space="0"/>
              <w:right w:val="single" w:color="auto" w:sz="4" w:space="0"/>
            </w:tcBorders>
            <w:vAlign w:val="center"/>
          </w:tcPr>
          <w:p>
            <w:pPr>
              <w:spacing w:line="280" w:lineRule="exact"/>
              <w:ind w:left="-66" w:leftChars="-30" w:right="-77" w:rightChars="-35"/>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39"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0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7630" w:type="dxa"/>
            <w:gridSpan w:val="7"/>
            <w:vMerge w:val="restart"/>
            <w:tcBorders>
              <w:left w:val="single" w:color="auto" w:sz="4" w:space="0"/>
              <w:bottom w:val="single" w:color="auto" w:sz="4" w:space="0"/>
              <w:right w:val="single" w:color="auto" w:sz="4" w:space="0"/>
            </w:tcBorders>
            <w:vAlign w:val="center"/>
          </w:tcPr>
          <w:p>
            <w:pPr>
              <w:adjustRightInd w:val="0"/>
              <w:snapToGrid w:val="0"/>
              <w:spacing w:line="280" w:lineRule="exact"/>
              <w:ind w:left="180"/>
              <w:jc w:val="center"/>
              <w:rPr>
                <w:szCs w:val="21"/>
              </w:rPr>
            </w:pPr>
            <w:r>
              <w:rPr>
                <w:szCs w:val="21"/>
              </w:rPr>
              <w:t>任教课程</w:t>
            </w:r>
          </w:p>
        </w:tc>
        <w:tc>
          <w:tcPr>
            <w:tcW w:w="1706" w:type="dxa"/>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3" w:type="dxa"/>
            <w:vMerge w:val="restart"/>
            <w:tcBorders>
              <w:left w:val="single" w:color="auto" w:sz="4" w:space="0"/>
              <w:right w:val="single" w:color="auto" w:sz="4" w:space="0"/>
            </w:tcBorders>
            <w:vAlign w:val="center"/>
          </w:tcPr>
          <w:p>
            <w:pPr>
              <w:spacing w:line="280" w:lineRule="exact"/>
              <w:ind w:left="-59" w:leftChars="-27" w:right="-55" w:rightChars="-25"/>
              <w:jc w:val="center"/>
              <w:rPr>
                <w:szCs w:val="21"/>
              </w:rPr>
            </w:pPr>
            <w:r>
              <w:rPr>
                <w:szCs w:val="21"/>
              </w:rPr>
              <w:t>现从事专业</w:t>
            </w:r>
          </w:p>
        </w:tc>
        <w:tc>
          <w:tcPr>
            <w:tcW w:w="1280" w:type="dxa"/>
            <w:gridSpan w:val="2"/>
            <w:vMerge w:val="restart"/>
            <w:tcBorders>
              <w:left w:val="single" w:color="auto" w:sz="4" w:space="0"/>
              <w:right w:val="single" w:color="auto" w:sz="4" w:space="0"/>
            </w:tcBorders>
            <w:vAlign w:val="center"/>
          </w:tcPr>
          <w:p>
            <w:pPr>
              <w:widowControl/>
              <w:jc w:val="center"/>
              <w:rPr>
                <w:szCs w:val="21"/>
              </w:rPr>
            </w:pPr>
            <w:r>
              <w:rPr>
                <w:rFonts w:hint="eastAsia"/>
                <w:szCs w:val="21"/>
                <w:lang w:val="en-US" w:eastAsia="zh-CN"/>
              </w:rPr>
              <w:t>艺术教学</w:t>
            </w:r>
          </w:p>
        </w:tc>
        <w:tc>
          <w:tcPr>
            <w:tcW w:w="2282" w:type="dxa"/>
            <w:gridSpan w:val="4"/>
            <w:vMerge w:val="restart"/>
            <w:tcBorders>
              <w:left w:val="single" w:color="auto" w:sz="4" w:space="0"/>
              <w:right w:val="single" w:color="auto" w:sz="4" w:space="0"/>
            </w:tcBorders>
            <w:vAlign w:val="center"/>
          </w:tcPr>
          <w:p>
            <w:pPr>
              <w:jc w:val="center"/>
              <w:rPr>
                <w:szCs w:val="21"/>
              </w:rPr>
            </w:pPr>
            <w:r>
              <w:rPr>
                <w:szCs w:val="21"/>
              </w:rPr>
              <w:t>是否破格</w:t>
            </w:r>
          </w:p>
        </w:tc>
        <w:tc>
          <w:tcPr>
            <w:tcW w:w="1875" w:type="dxa"/>
            <w:gridSpan w:val="2"/>
            <w:vMerge w:val="restart"/>
            <w:tcBorders>
              <w:left w:val="single" w:color="auto" w:sz="4" w:space="0"/>
              <w:right w:val="single" w:color="auto" w:sz="4" w:space="0"/>
            </w:tcBorders>
            <w:vAlign w:val="center"/>
          </w:tcPr>
          <w:p>
            <w:pPr>
              <w:spacing w:line="280" w:lineRule="exact"/>
              <w:ind w:left="-66" w:leftChars="-30" w:right="-77" w:rightChars="-35"/>
              <w:jc w:val="center"/>
              <w:rPr>
                <w:szCs w:val="21"/>
              </w:rPr>
            </w:pPr>
            <w:r>
              <w:rPr>
                <w:rFonts w:hint="eastAsia"/>
                <w:szCs w:val="21"/>
                <w:lang w:val="en-US" w:eastAsia="zh-CN"/>
              </w:rPr>
              <w:t>否</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939" w:type="dxa"/>
            <w:vMerge w:val="continue"/>
            <w:tcBorders>
              <w:left w:val="single" w:color="auto" w:sz="4" w:space="0"/>
              <w:right w:val="single" w:color="auto" w:sz="4" w:space="0"/>
            </w:tcBorders>
            <w:vAlign w:val="center"/>
          </w:tcPr>
          <w:p>
            <w:pPr>
              <w:spacing w:line="280" w:lineRule="exact"/>
              <w:jc w:val="center"/>
              <w:rPr>
                <w:szCs w:val="21"/>
              </w:rPr>
            </w:pPr>
          </w:p>
        </w:tc>
        <w:tc>
          <w:tcPr>
            <w:tcW w:w="1005" w:type="dxa"/>
            <w:vMerge w:val="continue"/>
            <w:tcBorders>
              <w:left w:val="single" w:color="auto" w:sz="4" w:space="0"/>
              <w:right w:val="single" w:color="auto" w:sz="4" w:space="0"/>
            </w:tcBorders>
            <w:vAlign w:val="center"/>
          </w:tcPr>
          <w:p>
            <w:pPr>
              <w:spacing w:line="280" w:lineRule="exact"/>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30" w:type="dxa"/>
            <w:gridSpan w:val="7"/>
            <w:vMerge w:val="continue"/>
            <w:tcBorders>
              <w:left w:val="single" w:color="auto" w:sz="4" w:space="0"/>
              <w:bottom w:val="single" w:color="auto" w:sz="4" w:space="0"/>
              <w:right w:val="single" w:color="auto" w:sz="4" w:space="0"/>
            </w:tcBorders>
            <w:vAlign w:val="center"/>
          </w:tcPr>
          <w:p>
            <w:pPr>
              <w:adjustRightInd w:val="0"/>
              <w:snapToGrid w:val="0"/>
              <w:spacing w:line="280" w:lineRule="exact"/>
              <w:jc w:val="center"/>
              <w:rPr>
                <w:szCs w:val="21"/>
              </w:rPr>
            </w:pPr>
          </w:p>
        </w:tc>
        <w:tc>
          <w:tcPr>
            <w:tcW w:w="1706"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3"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0"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2282"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875"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939" w:type="dxa"/>
            <w:vMerge w:val="continue"/>
            <w:tcBorders>
              <w:left w:val="single" w:color="auto" w:sz="4" w:space="0"/>
              <w:right w:val="single" w:color="auto" w:sz="4" w:space="0"/>
            </w:tcBorders>
            <w:vAlign w:val="center"/>
          </w:tcPr>
          <w:p>
            <w:pPr>
              <w:spacing w:line="280" w:lineRule="exact"/>
              <w:jc w:val="center"/>
              <w:rPr>
                <w:szCs w:val="21"/>
              </w:rPr>
            </w:pPr>
          </w:p>
        </w:tc>
        <w:tc>
          <w:tcPr>
            <w:tcW w:w="1005" w:type="dxa"/>
            <w:vMerge w:val="continue"/>
            <w:tcBorders>
              <w:left w:val="single" w:color="auto" w:sz="4" w:space="0"/>
              <w:right w:val="single" w:color="auto" w:sz="4" w:space="0"/>
            </w:tcBorders>
            <w:vAlign w:val="center"/>
          </w:tcPr>
          <w:p>
            <w:pPr>
              <w:spacing w:line="280" w:lineRule="exact"/>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30" w:type="dxa"/>
            <w:gridSpan w:val="7"/>
            <w:vMerge w:val="restart"/>
            <w:tcBorders>
              <w:left w:val="single" w:color="auto" w:sz="4" w:space="0"/>
              <w:right w:val="single" w:color="auto" w:sz="4" w:space="0"/>
            </w:tcBorders>
            <w:vAlign w:val="center"/>
          </w:tcPr>
          <w:p>
            <w:pPr>
              <w:adjustRightInd w:val="0"/>
              <w:snapToGrid w:val="0"/>
              <w:jc w:val="both"/>
              <w:rPr>
                <w:szCs w:val="21"/>
              </w:rPr>
            </w:pPr>
            <w:r>
              <w:rPr>
                <w:rFonts w:hint="eastAsia"/>
                <w:szCs w:val="21"/>
                <w:lang w:val="en-US" w:eastAsia="zh-CN"/>
              </w:rPr>
              <w:t>《戏剧鉴赏》、《音乐》、《音乐欣赏》、《影视鉴赏》、《创新教育》</w:t>
            </w:r>
          </w:p>
        </w:tc>
        <w:tc>
          <w:tcPr>
            <w:tcW w:w="1706"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895" w:type="dxa"/>
            <w:gridSpan w:val="7"/>
            <w:tcBorders>
              <w:top w:val="single" w:color="auto" w:sz="4" w:space="0"/>
              <w:left w:val="single" w:color="auto" w:sz="4" w:space="0"/>
              <w:right w:val="single" w:color="auto" w:sz="4" w:space="0"/>
            </w:tcBorders>
            <w:vAlign w:val="center"/>
          </w:tcPr>
          <w:p>
            <w:pPr>
              <w:spacing w:line="280" w:lineRule="exact"/>
              <w:ind w:left="-29" w:leftChars="-51" w:right="-112" w:rightChars="-51" w:hanging="83" w:hangingChars="38"/>
              <w:jc w:val="center"/>
              <w:rPr>
                <w:szCs w:val="21"/>
              </w:rPr>
            </w:pPr>
            <w:r>
              <w:rPr>
                <w:szCs w:val="21"/>
              </w:rPr>
              <w:t>毕业学校及专业</w:t>
            </w:r>
          </w:p>
        </w:tc>
        <w:tc>
          <w:tcPr>
            <w:tcW w:w="1875" w:type="dxa"/>
            <w:gridSpan w:val="2"/>
            <w:tcBorders>
              <w:top w:val="single" w:color="auto" w:sz="4" w:space="0"/>
              <w:left w:val="single" w:color="auto" w:sz="4" w:space="0"/>
              <w:right w:val="single" w:color="auto" w:sz="4" w:space="0"/>
            </w:tcBorders>
            <w:vAlign w:val="center"/>
          </w:tcPr>
          <w:p>
            <w:pPr>
              <w:spacing w:line="280" w:lineRule="exact"/>
              <w:ind w:left="-29" w:leftChars="-51" w:right="-112" w:rightChars="-51" w:hanging="83" w:hangingChars="38"/>
              <w:jc w:val="center"/>
              <w:rPr>
                <w:szCs w:val="21"/>
              </w:rPr>
            </w:pPr>
            <w:r>
              <w:rPr>
                <w:szCs w:val="21"/>
              </w:rPr>
              <w:t>毕业时间</w:t>
            </w:r>
          </w:p>
        </w:tc>
        <w:tc>
          <w:tcPr>
            <w:tcW w:w="722" w:type="dxa"/>
            <w:vMerge w:val="continue"/>
            <w:tcBorders>
              <w:left w:val="single" w:color="auto" w:sz="4" w:space="0"/>
              <w:right w:val="single" w:color="auto" w:sz="4" w:space="0"/>
            </w:tcBorders>
            <w:vAlign w:val="bottom"/>
          </w:tcPr>
          <w:p>
            <w:pPr>
              <w:spacing w:line="280" w:lineRule="exact"/>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939" w:type="dxa"/>
            <w:vMerge w:val="continue"/>
            <w:tcBorders>
              <w:left w:val="single" w:color="auto" w:sz="4" w:space="0"/>
              <w:right w:val="single" w:color="auto" w:sz="4" w:space="0"/>
            </w:tcBorders>
            <w:vAlign w:val="center"/>
          </w:tcPr>
          <w:p>
            <w:pPr>
              <w:spacing w:line="280" w:lineRule="exact"/>
              <w:jc w:val="center"/>
              <w:rPr>
                <w:szCs w:val="21"/>
              </w:rPr>
            </w:pPr>
          </w:p>
        </w:tc>
        <w:tc>
          <w:tcPr>
            <w:tcW w:w="1005" w:type="dxa"/>
            <w:vMerge w:val="continue"/>
            <w:tcBorders>
              <w:left w:val="single" w:color="auto" w:sz="4" w:space="0"/>
              <w:right w:val="single" w:color="auto" w:sz="4" w:space="0"/>
            </w:tcBorders>
            <w:vAlign w:val="center"/>
          </w:tcPr>
          <w:p>
            <w:pPr>
              <w:spacing w:line="280" w:lineRule="exact"/>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30" w:type="dxa"/>
            <w:gridSpan w:val="7"/>
            <w:vMerge w:val="continue"/>
            <w:tcBorders>
              <w:left w:val="single" w:color="auto" w:sz="4" w:space="0"/>
              <w:right w:val="single" w:color="auto" w:sz="4" w:space="0"/>
            </w:tcBorders>
            <w:vAlign w:val="center"/>
          </w:tcPr>
          <w:p>
            <w:pPr>
              <w:spacing w:line="280" w:lineRule="exact"/>
              <w:jc w:val="center"/>
              <w:rPr>
                <w:szCs w:val="21"/>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895" w:type="dxa"/>
            <w:gridSpan w:val="7"/>
            <w:tcBorders>
              <w:top w:val="single" w:color="auto" w:sz="4" w:space="0"/>
              <w:left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广州大学 音乐学（社会音乐）</w:t>
            </w:r>
          </w:p>
        </w:tc>
        <w:tc>
          <w:tcPr>
            <w:tcW w:w="1875" w:type="dxa"/>
            <w:gridSpan w:val="2"/>
            <w:tcBorders>
              <w:top w:val="single" w:color="auto" w:sz="4" w:space="0"/>
              <w:left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2006.06</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939" w:type="dxa"/>
            <w:vMerge w:val="continue"/>
            <w:tcBorders>
              <w:left w:val="single" w:color="auto" w:sz="4" w:space="0"/>
              <w:right w:val="single" w:color="auto" w:sz="4" w:space="0"/>
            </w:tcBorders>
            <w:vAlign w:val="center"/>
          </w:tcPr>
          <w:p>
            <w:pPr>
              <w:spacing w:line="280" w:lineRule="exact"/>
              <w:jc w:val="center"/>
              <w:rPr>
                <w:szCs w:val="21"/>
              </w:rPr>
            </w:pPr>
          </w:p>
        </w:tc>
        <w:tc>
          <w:tcPr>
            <w:tcW w:w="1005" w:type="dxa"/>
            <w:vMerge w:val="continue"/>
            <w:tcBorders>
              <w:left w:val="single" w:color="auto" w:sz="4" w:space="0"/>
              <w:right w:val="single" w:color="auto" w:sz="4" w:space="0"/>
            </w:tcBorders>
            <w:vAlign w:val="center"/>
          </w:tcPr>
          <w:p>
            <w:pPr>
              <w:spacing w:line="280" w:lineRule="exact"/>
              <w:jc w:val="center"/>
              <w:rPr>
                <w:szCs w:val="21"/>
              </w:rPr>
            </w:pPr>
          </w:p>
        </w:tc>
        <w:tc>
          <w:tcPr>
            <w:tcW w:w="97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1265"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30" w:type="dxa"/>
            <w:gridSpan w:val="7"/>
            <w:vMerge w:val="continue"/>
            <w:tcBorders>
              <w:left w:val="single" w:color="auto" w:sz="4" w:space="0"/>
              <w:right w:val="single" w:color="auto" w:sz="4" w:space="0"/>
            </w:tcBorders>
            <w:vAlign w:val="center"/>
          </w:tcPr>
          <w:p>
            <w:pPr>
              <w:spacing w:line="280" w:lineRule="exact"/>
              <w:jc w:val="center"/>
              <w:rPr>
                <w:szCs w:val="21"/>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460" w:type="dxa"/>
            <w:gridSpan w:val="2"/>
            <w:tcBorders>
              <w:left w:val="single" w:color="auto" w:sz="4" w:space="0"/>
              <w:right w:val="single" w:color="auto" w:sz="4" w:space="0"/>
            </w:tcBorders>
            <w:vAlign w:val="center"/>
          </w:tcPr>
          <w:p>
            <w:pPr>
              <w:spacing w:line="280" w:lineRule="exact"/>
              <w:jc w:val="center"/>
              <w:rPr>
                <w:szCs w:val="21"/>
              </w:rPr>
            </w:pPr>
          </w:p>
        </w:tc>
        <w:tc>
          <w:tcPr>
            <w:tcW w:w="5310" w:type="dxa"/>
            <w:gridSpan w:val="7"/>
            <w:tcBorders>
              <w:left w:val="single" w:color="auto" w:sz="4" w:space="0"/>
              <w:right w:val="single" w:color="auto" w:sz="4" w:space="0"/>
            </w:tcBorders>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科研</w:t>
            </w:r>
          </w:p>
          <w:p>
            <w:pPr>
              <w:spacing w:line="280" w:lineRule="exact"/>
              <w:jc w:val="center"/>
              <w:rPr>
                <w:b/>
                <w:szCs w:val="21"/>
              </w:rPr>
            </w:pPr>
            <w:r>
              <w:rPr>
                <w:b/>
                <w:szCs w:val="21"/>
              </w:rPr>
              <w:t>工作</w:t>
            </w:r>
          </w:p>
          <w:p>
            <w:pPr>
              <w:spacing w:line="280" w:lineRule="exact"/>
              <w:rPr>
                <w:szCs w:val="21"/>
              </w:rPr>
            </w:pPr>
          </w:p>
        </w:tc>
        <w:tc>
          <w:tcPr>
            <w:tcW w:w="1324"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论著或论文（标题、刊物名称、发表时间、作者排名、代表作）</w:t>
            </w:r>
          </w:p>
        </w:tc>
        <w:tc>
          <w:tcPr>
            <w:tcW w:w="1944" w:type="dxa"/>
            <w:gridSpan w:val="2"/>
            <w:vMerge w:val="restart"/>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r>
              <w:rPr>
                <w:rFonts w:hint="eastAsia"/>
                <w:szCs w:val="21"/>
                <w:lang w:val="en-US" w:eastAsia="zh-CN"/>
              </w:rPr>
              <w:t>论文总数</w:t>
            </w:r>
          </w:p>
        </w:tc>
        <w:tc>
          <w:tcPr>
            <w:tcW w:w="975" w:type="dxa"/>
            <w:gridSpan w:val="2"/>
            <w:vMerge w:val="restart"/>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r>
              <w:rPr>
                <w:rFonts w:hint="eastAsia"/>
                <w:szCs w:val="21"/>
                <w:lang w:val="en-US" w:eastAsia="zh-CN"/>
              </w:rPr>
              <w:t>15</w:t>
            </w:r>
          </w:p>
        </w:tc>
        <w:tc>
          <w:tcPr>
            <w:tcW w:w="7785" w:type="dxa"/>
            <w:gridSpan w:val="8"/>
            <w:vMerge w:val="restart"/>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r>
              <w:rPr>
                <w:rFonts w:hint="eastAsia"/>
                <w:szCs w:val="21"/>
                <w:lang w:val="en-US" w:eastAsia="zh-CN"/>
              </w:rPr>
              <w:t>专（译）著、国家级规划教材、省级规划教材数</w:t>
            </w:r>
          </w:p>
        </w:tc>
        <w:tc>
          <w:tcPr>
            <w:tcW w:w="1110" w:type="dxa"/>
            <w:vMerge w:val="restart"/>
            <w:tcBorders>
              <w:top w:val="nil"/>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r>
              <w:rPr>
                <w:rFonts w:hint="eastAsia"/>
                <w:szCs w:val="21"/>
                <w:lang w:val="en-US" w:eastAsia="zh-CN"/>
              </w:rPr>
              <w:t>3</w:t>
            </w:r>
          </w:p>
        </w:tc>
        <w:tc>
          <w:tcPr>
            <w:tcW w:w="1706" w:type="dxa"/>
            <w:vMerge w:val="restart"/>
            <w:tcBorders>
              <w:left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科研部门</w:t>
            </w:r>
          </w:p>
          <w:p>
            <w:pPr>
              <w:spacing w:line="280" w:lineRule="exact"/>
              <w:jc w:val="center"/>
              <w:rPr>
                <w:rFonts w:hint="eastAsia"/>
                <w:szCs w:val="21"/>
                <w:lang w:val="en-US" w:eastAsia="zh-CN"/>
              </w:rPr>
            </w:pPr>
            <w:r>
              <w:rPr>
                <w:rFonts w:hint="eastAsia"/>
                <w:szCs w:val="21"/>
                <w:lang w:val="en-US" w:eastAsia="zh-CN"/>
              </w:rPr>
              <w:t>审核意见</w:t>
            </w:r>
          </w:p>
          <w:p>
            <w:pPr>
              <w:spacing w:line="280" w:lineRule="exact"/>
              <w:ind w:firstLine="440" w:firstLineChars="200"/>
              <w:jc w:val="both"/>
              <w:rPr>
                <w:rFonts w:hint="eastAsia"/>
                <w:szCs w:val="21"/>
                <w:lang w:val="en-US" w:eastAsia="zh-CN"/>
              </w:rPr>
            </w:pPr>
            <w:r>
              <w:rPr>
                <w:rFonts w:hint="eastAsia"/>
                <w:szCs w:val="21"/>
                <w:lang w:val="en-US" w:eastAsia="zh-CN"/>
              </w:rPr>
              <w:t>（盖章）</w:t>
            </w: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both"/>
              <w:rPr>
                <w:rFonts w:hint="eastAsia"/>
                <w:szCs w:val="21"/>
                <w:lang w:val="en-US" w:eastAsia="zh-CN"/>
              </w:rPr>
            </w:pPr>
          </w:p>
          <w:p>
            <w:pPr>
              <w:spacing w:line="280" w:lineRule="exact"/>
              <w:ind w:firstLine="220" w:firstLineChars="100"/>
              <w:jc w:val="center"/>
              <w:rPr>
                <w:rFonts w:hint="eastAsia"/>
                <w:szCs w:val="21"/>
                <w:lang w:val="en-US" w:eastAsia="zh-CN"/>
              </w:rPr>
            </w:pPr>
            <w:r>
              <w:rPr>
                <w:rFonts w:hint="eastAsia"/>
                <w:szCs w:val="21"/>
                <w:lang w:val="en-US" w:eastAsia="zh-CN"/>
              </w:rPr>
              <w:t>科研部门</w:t>
            </w:r>
          </w:p>
          <w:p>
            <w:pPr>
              <w:spacing w:line="280" w:lineRule="exact"/>
              <w:ind w:firstLine="220" w:firstLineChars="100"/>
              <w:jc w:val="center"/>
              <w:rPr>
                <w:rFonts w:hint="eastAsia"/>
                <w:szCs w:val="21"/>
                <w:lang w:val="en-US" w:eastAsia="zh-CN"/>
              </w:rPr>
            </w:pPr>
            <w:r>
              <w:rPr>
                <w:rFonts w:hint="eastAsia"/>
                <w:szCs w:val="21"/>
                <w:lang w:val="en-US" w:eastAsia="zh-CN"/>
              </w:rPr>
              <w:t>审核人签名：</w:t>
            </w:r>
          </w:p>
          <w:p>
            <w:pPr>
              <w:spacing w:line="280" w:lineRule="exact"/>
              <w:ind w:firstLine="220" w:firstLineChars="100"/>
              <w:jc w:val="center"/>
              <w:rPr>
                <w:rFonts w:hint="eastAsia"/>
                <w:szCs w:val="21"/>
                <w:lang w:val="en-US" w:eastAsia="zh-CN"/>
              </w:rPr>
            </w:pPr>
          </w:p>
          <w:p>
            <w:pPr>
              <w:spacing w:line="280" w:lineRule="exact"/>
              <w:ind w:firstLine="220" w:firstLineChars="100"/>
              <w:jc w:val="both"/>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0" w:type="dxa"/>
            <w:gridSpan w:val="9"/>
            <w:vMerge w:val="restart"/>
            <w:tcBorders>
              <w:left w:val="single" w:color="auto" w:sz="4" w:space="0"/>
              <w:right w:val="single" w:color="auto" w:sz="4" w:space="0"/>
            </w:tcBorders>
            <w:vAlign w:val="center"/>
          </w:tcPr>
          <w:p>
            <w:pPr>
              <w:widowControl/>
              <w:spacing w:line="280" w:lineRule="exact"/>
              <w:ind w:left="-29" w:leftChars="-51" w:right="-112" w:rightChars="-51" w:hanging="83"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944" w:type="dxa"/>
            <w:gridSpan w:val="2"/>
            <w:vMerge w:val="continue"/>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p>
        </w:tc>
        <w:tc>
          <w:tcPr>
            <w:tcW w:w="975" w:type="dxa"/>
            <w:gridSpan w:val="2"/>
            <w:vMerge w:val="continue"/>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p>
        </w:tc>
        <w:tc>
          <w:tcPr>
            <w:tcW w:w="7785" w:type="dxa"/>
            <w:gridSpan w:val="8"/>
            <w:vMerge w:val="continue"/>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p>
        </w:tc>
        <w:tc>
          <w:tcPr>
            <w:tcW w:w="1110" w:type="dxa"/>
            <w:vMerge w:val="continue"/>
            <w:tcBorders>
              <w:top w:val="nil"/>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p>
        </w:tc>
        <w:tc>
          <w:tcPr>
            <w:tcW w:w="1706" w:type="dxa"/>
            <w:vMerge w:val="continue"/>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6770"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814" w:type="dxa"/>
            <w:gridSpan w:val="13"/>
            <w:vMerge w:val="restart"/>
            <w:tcBorders>
              <w:left w:val="single" w:color="auto" w:sz="4" w:space="0"/>
              <w:right w:val="single" w:color="auto" w:sz="4" w:space="0"/>
            </w:tcBorders>
          </w:tcPr>
          <w:p>
            <w:pPr>
              <w:spacing w:line="280" w:lineRule="exact"/>
              <w:ind w:firstLine="462" w:firstLineChars="200"/>
              <w:jc w:val="both"/>
              <w:rPr>
                <w:rFonts w:hint="eastAsia"/>
                <w:b/>
                <w:bCs/>
                <w:sz w:val="23"/>
                <w:szCs w:val="23"/>
                <w:lang w:val="en-US" w:eastAsia="zh-CN"/>
              </w:rPr>
            </w:pPr>
            <w:r>
              <w:rPr>
                <w:rFonts w:hint="eastAsia"/>
                <w:b/>
                <w:bCs/>
                <w:sz w:val="23"/>
                <w:szCs w:val="23"/>
                <w:lang w:val="en-US" w:eastAsia="zh-CN"/>
              </w:rPr>
              <w:t>一、论文代表作：</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1、《微课程理念在大学音乐教育中的实践分析》，2019年8月发表于《教育》，独著；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2、《在大学新生适应性教育中音乐治疗的探索研究》，2019年9月发表于《教育科学》，独著。</w:t>
            </w:r>
          </w:p>
          <w:p>
            <w:pPr>
              <w:spacing w:line="280" w:lineRule="exact"/>
              <w:ind w:firstLine="462" w:firstLineChars="200"/>
              <w:jc w:val="both"/>
              <w:rPr>
                <w:rFonts w:hint="eastAsia"/>
                <w:b/>
                <w:bCs/>
                <w:sz w:val="23"/>
                <w:szCs w:val="23"/>
                <w:lang w:val="en-US" w:eastAsia="zh-CN"/>
              </w:rPr>
            </w:pPr>
            <w:r>
              <w:rPr>
                <w:rFonts w:hint="eastAsia"/>
                <w:b/>
                <w:bCs/>
                <w:sz w:val="23"/>
                <w:szCs w:val="23"/>
                <w:lang w:val="en-US" w:eastAsia="zh-CN"/>
              </w:rPr>
              <w:t>二、其他论文：</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1、《高职音乐专业钢琴有效教学策略探讨》，2016年6月发表于《旅游纵览》，独著；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2、《高职音乐表演专业教学改革刍议》，2016年9月发表于《企业导报》，独著；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3、《高职音乐专业民乐合奏课教学改革研究》，2016年7月发表于《时代农机》，独著；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4、《高职院校非音乐专业音乐教育课程体系的优化策略探讨》，2016年8月发表于《时代农机》，独著；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5、《高职院校音乐教育专业面临的挑战与发展对策》，2019年1月发表于《信息技术时代》，独著；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6、《传统音乐在大学音乐教育中的传承》，2019年2月发表于《信息技术时代》，独著；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7、《城市社区音乐文化发展的影响因素刍议》，2019年6月发表于《社会科学》，独著；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8、《探究大学音乐教育中音乐鉴赏能力培养的重要性》，2019年6月发表于《锦绣》，独著；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9、《促进红色歌曲进入大学音乐课堂的应用研究》，2019年7月发表于《锦绣》，独著；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10、《基于衡阳市社区音乐文化发展的发展现状调查》，201年7月发表于《科研》，独著；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11、《当代城市音乐文化发展优化思考—基于衡阳市》，2019年7月发表于《新教育时代》，独著；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12、《音乐治疗在大学新生适应性教育中的探索》，2019年9月发表于《知识-力量》，独著；</w:t>
            </w:r>
          </w:p>
          <w:p>
            <w:pPr>
              <w:spacing w:line="280" w:lineRule="exact"/>
              <w:ind w:firstLine="460" w:firstLineChars="200"/>
              <w:jc w:val="both"/>
              <w:rPr>
                <w:rFonts w:hint="eastAsia"/>
                <w:sz w:val="23"/>
                <w:szCs w:val="23"/>
                <w:lang w:val="en-US" w:eastAsia="zh-CN"/>
              </w:rPr>
            </w:pPr>
            <w:r>
              <w:rPr>
                <w:rFonts w:hint="eastAsia"/>
                <w:sz w:val="23"/>
                <w:szCs w:val="23"/>
                <w:lang w:val="en-US" w:eastAsia="zh-CN"/>
              </w:rPr>
              <w:t>13、《大学音乐教育中培养学生审美能力的方法》，2019年9月发表于《知识-力量》，独著。</w:t>
            </w:r>
          </w:p>
          <w:p>
            <w:pPr>
              <w:spacing w:line="280" w:lineRule="exact"/>
              <w:jc w:val="both"/>
              <w:rPr>
                <w:rFonts w:hint="eastAsia"/>
                <w:b/>
                <w:bCs/>
                <w:sz w:val="23"/>
                <w:szCs w:val="23"/>
                <w:lang w:val="en-US" w:eastAsia="zh-CN"/>
              </w:rPr>
            </w:pPr>
          </w:p>
          <w:p>
            <w:pPr>
              <w:spacing w:line="280" w:lineRule="exact"/>
              <w:ind w:firstLine="231" w:firstLineChars="100"/>
              <w:jc w:val="both"/>
              <w:rPr>
                <w:rFonts w:hint="eastAsia"/>
                <w:b/>
                <w:bCs/>
                <w:sz w:val="23"/>
                <w:szCs w:val="23"/>
                <w:lang w:val="en-US" w:eastAsia="zh-CN"/>
              </w:rPr>
            </w:pPr>
            <w:r>
              <w:rPr>
                <w:rFonts w:hint="eastAsia"/>
                <w:b/>
                <w:bCs/>
                <w:sz w:val="23"/>
                <w:szCs w:val="23"/>
                <w:lang w:val="en-US" w:eastAsia="zh-CN"/>
              </w:rPr>
              <w:t>三、教材：</w:t>
            </w:r>
          </w:p>
          <w:p>
            <w:pPr>
              <w:spacing w:line="280" w:lineRule="exact"/>
              <w:ind w:firstLine="230" w:firstLineChars="100"/>
              <w:jc w:val="both"/>
              <w:rPr>
                <w:rFonts w:hint="eastAsia"/>
                <w:sz w:val="23"/>
                <w:szCs w:val="23"/>
                <w:lang w:val="en-US" w:eastAsia="zh-CN"/>
              </w:rPr>
            </w:pPr>
            <w:r>
              <w:rPr>
                <w:rFonts w:hint="eastAsia"/>
                <w:sz w:val="23"/>
                <w:szCs w:val="23"/>
                <w:lang w:val="en-US" w:eastAsia="zh-CN"/>
              </w:rPr>
              <w:t>1、《湖南高速铁路职业技术学院共青团工作实务手册》，中国铁道出版社2014年9月出版，参编，排名第二；</w:t>
            </w:r>
          </w:p>
          <w:p>
            <w:pPr>
              <w:spacing w:line="280" w:lineRule="exact"/>
              <w:ind w:firstLine="230" w:firstLineChars="100"/>
              <w:jc w:val="both"/>
              <w:rPr>
                <w:rFonts w:hint="eastAsia"/>
                <w:sz w:val="23"/>
                <w:szCs w:val="23"/>
                <w:lang w:val="en-US" w:eastAsia="zh-CN"/>
              </w:rPr>
            </w:pPr>
            <w:r>
              <w:rPr>
                <w:rFonts w:hint="eastAsia"/>
                <w:sz w:val="23"/>
                <w:szCs w:val="23"/>
                <w:lang w:val="en-US" w:eastAsia="zh-CN"/>
              </w:rPr>
              <w:t>2、《大学生安全教育》，汕头大学出版社2019年3月出版，参编，排名第三；</w:t>
            </w:r>
          </w:p>
          <w:p>
            <w:pPr>
              <w:spacing w:line="280" w:lineRule="exact"/>
              <w:ind w:firstLine="230" w:firstLineChars="100"/>
              <w:jc w:val="both"/>
              <w:rPr>
                <w:rFonts w:hint="eastAsia"/>
                <w:sz w:val="23"/>
                <w:szCs w:val="23"/>
                <w:lang w:val="en-US" w:eastAsia="zh-CN"/>
              </w:rPr>
            </w:pPr>
            <w:r>
              <w:rPr>
                <w:rFonts w:hint="eastAsia"/>
                <w:sz w:val="23"/>
                <w:szCs w:val="23"/>
                <w:lang w:val="en-US" w:eastAsia="zh-CN"/>
              </w:rPr>
              <w:t>3、《音乐之美—音乐艺术鉴赏》，上海交通大学出版社2019年6月出版，副主编，排名第六。</w:t>
            </w:r>
          </w:p>
          <w:p>
            <w:pPr>
              <w:spacing w:line="280" w:lineRule="exact"/>
              <w:ind w:firstLine="230" w:firstLineChars="100"/>
              <w:jc w:val="both"/>
              <w:rPr>
                <w:rFonts w:hint="eastAsia"/>
                <w:sz w:val="23"/>
                <w:szCs w:val="23"/>
                <w:lang w:val="en-US" w:eastAsia="zh-CN"/>
              </w:rPr>
            </w:pPr>
          </w:p>
        </w:tc>
        <w:tc>
          <w:tcPr>
            <w:tcW w:w="1706" w:type="dxa"/>
            <w:vMerge w:val="continue"/>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46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2014</w:t>
            </w:r>
          </w:p>
        </w:tc>
        <w:tc>
          <w:tcPr>
            <w:tcW w:w="12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2015</w:t>
            </w:r>
          </w:p>
        </w:tc>
        <w:tc>
          <w:tcPr>
            <w:tcW w:w="13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2016</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2017</w:t>
            </w:r>
          </w:p>
        </w:tc>
        <w:tc>
          <w:tcPr>
            <w:tcW w:w="135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2018</w:t>
            </w: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11814" w:type="dxa"/>
            <w:gridSpan w:val="13"/>
            <w:vMerge w:val="continue"/>
            <w:tcBorders>
              <w:left w:val="single" w:color="auto" w:sz="4" w:space="0"/>
              <w:right w:val="single" w:color="auto" w:sz="4" w:space="0"/>
            </w:tcBorders>
            <w:vAlign w:val="center"/>
          </w:tcPr>
          <w:p>
            <w:pPr>
              <w:adjustRightInd w:val="0"/>
              <w:snapToGrid w:val="0"/>
              <w:ind w:firstLine="660" w:firstLineChars="200"/>
              <w:jc w:val="left"/>
              <w:rPr>
                <w:rFonts w:hint="eastAsia" w:ascii="仿宋" w:hAnsi="仿宋" w:eastAsia="仿宋" w:cs="仿宋"/>
                <w:spacing w:val="60"/>
                <w:kern w:val="2"/>
                <w:sz w:val="21"/>
                <w:szCs w:val="21"/>
                <w:lang w:val="en-US" w:eastAsia="zh-CN" w:bidi="ar-SA"/>
              </w:rPr>
            </w:pPr>
          </w:p>
        </w:tc>
        <w:tc>
          <w:tcPr>
            <w:tcW w:w="1706"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46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优秀</w:t>
            </w:r>
          </w:p>
        </w:tc>
        <w:tc>
          <w:tcPr>
            <w:tcW w:w="12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优秀</w:t>
            </w:r>
          </w:p>
        </w:tc>
        <w:tc>
          <w:tcPr>
            <w:tcW w:w="13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优秀</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合格</w:t>
            </w:r>
          </w:p>
        </w:tc>
        <w:tc>
          <w:tcPr>
            <w:tcW w:w="135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合格</w:t>
            </w: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rPr>
                <w:szCs w:val="21"/>
              </w:rPr>
            </w:pPr>
          </w:p>
        </w:tc>
        <w:tc>
          <w:tcPr>
            <w:tcW w:w="11814" w:type="dxa"/>
            <w:gridSpan w:val="13"/>
            <w:vMerge w:val="continue"/>
            <w:tcBorders>
              <w:left w:val="single" w:color="auto" w:sz="4" w:space="0"/>
              <w:right w:val="single" w:color="auto" w:sz="4" w:space="0"/>
            </w:tcBorders>
          </w:tcPr>
          <w:p>
            <w:pPr>
              <w:adjustRightInd w:val="0"/>
              <w:snapToGrid w:val="0"/>
              <w:ind w:firstLine="660" w:firstLineChars="200"/>
              <w:jc w:val="left"/>
              <w:rPr>
                <w:rFonts w:hint="eastAsia" w:ascii="仿宋" w:hAnsi="仿宋" w:eastAsia="仿宋" w:cs="仿宋"/>
                <w:spacing w:val="60"/>
                <w:kern w:val="2"/>
                <w:sz w:val="21"/>
                <w:szCs w:val="21"/>
                <w:lang w:val="en-US" w:eastAsia="zh-CN" w:bidi="ar-SA"/>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6770" w:type="dxa"/>
            <w:gridSpan w:val="9"/>
            <w:tcBorders>
              <w:top w:val="single" w:color="auto" w:sz="4" w:space="0"/>
              <w:left w:val="single" w:color="auto" w:sz="4" w:space="0"/>
              <w:right w:val="single" w:color="auto" w:sz="4" w:space="0"/>
            </w:tcBorders>
            <w:vAlign w:val="center"/>
          </w:tcPr>
          <w:p>
            <w:pPr>
              <w:widowControl/>
              <w:spacing w:line="280" w:lineRule="exact"/>
              <w:jc w:val="both"/>
              <w:rPr>
                <w:szCs w:val="21"/>
              </w:rPr>
            </w:pPr>
            <w:r>
              <w:rPr>
                <w:szCs w:val="21"/>
              </w:rPr>
              <w:t>工作经历与任现职以来继续教育情况</w:t>
            </w: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rPr>
                <w:szCs w:val="21"/>
              </w:rPr>
            </w:pPr>
          </w:p>
        </w:tc>
        <w:tc>
          <w:tcPr>
            <w:tcW w:w="11814" w:type="dxa"/>
            <w:gridSpan w:val="13"/>
            <w:vMerge w:val="continue"/>
            <w:tcBorders>
              <w:left w:val="single" w:color="auto" w:sz="4" w:space="0"/>
              <w:right w:val="single" w:color="auto" w:sz="4" w:space="0"/>
            </w:tcBorders>
          </w:tcPr>
          <w:p>
            <w:pPr>
              <w:adjustRightInd w:val="0"/>
              <w:snapToGrid w:val="0"/>
              <w:ind w:firstLine="660" w:firstLineChars="200"/>
              <w:jc w:val="left"/>
              <w:rPr>
                <w:rFonts w:hint="eastAsia" w:ascii="仿宋" w:hAnsi="仿宋" w:eastAsia="仿宋" w:cs="仿宋"/>
                <w:spacing w:val="60"/>
                <w:kern w:val="2"/>
                <w:sz w:val="21"/>
                <w:szCs w:val="21"/>
                <w:lang w:val="en-US" w:eastAsia="zh-CN" w:bidi="ar-SA"/>
              </w:rPr>
            </w:pPr>
          </w:p>
        </w:tc>
        <w:tc>
          <w:tcPr>
            <w:tcW w:w="1706"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6770" w:type="dxa"/>
            <w:gridSpan w:val="9"/>
            <w:vMerge w:val="restart"/>
            <w:tcBorders>
              <w:left w:val="single" w:color="auto" w:sz="4" w:space="0"/>
              <w:right w:val="single" w:color="auto" w:sz="4" w:space="0"/>
            </w:tcBorders>
            <w:vAlign w:val="top"/>
          </w:tcPr>
          <w:p>
            <w:pPr>
              <w:spacing w:line="280" w:lineRule="exact"/>
              <w:ind w:firstLine="442" w:firstLineChars="200"/>
              <w:jc w:val="left"/>
              <w:rPr>
                <w:rFonts w:hint="eastAsia"/>
                <w:b/>
                <w:bCs/>
                <w:szCs w:val="21"/>
                <w:lang w:val="en-US" w:eastAsia="zh-CN"/>
              </w:rPr>
            </w:pPr>
            <w:r>
              <w:rPr>
                <w:rFonts w:hint="eastAsia"/>
                <w:b/>
                <w:bCs/>
                <w:szCs w:val="21"/>
                <w:lang w:val="en-US" w:eastAsia="zh-CN"/>
              </w:rPr>
              <w:t>一、工作经历：</w:t>
            </w:r>
          </w:p>
          <w:p>
            <w:pPr>
              <w:spacing w:line="280" w:lineRule="exact"/>
              <w:ind w:firstLine="440" w:firstLineChars="200"/>
              <w:jc w:val="left"/>
              <w:rPr>
                <w:rFonts w:hint="eastAsia"/>
                <w:szCs w:val="21"/>
                <w:lang w:val="en-US" w:eastAsia="zh-CN"/>
              </w:rPr>
            </w:pPr>
            <w:r>
              <w:rPr>
                <w:rFonts w:hint="eastAsia"/>
                <w:szCs w:val="21"/>
                <w:lang w:val="en-US" w:eastAsia="zh-CN"/>
              </w:rPr>
              <w:t>2006年6月毕业于广州大学音乐学专业，2007年8月湖南高速铁路职业技术学院任职；2012年12月至今任湖南高速铁路职业技术学院（学院更名）讲师，先后担任班主任、思政与体育课部艺术教研室教师、艺术教研室主任、团委干事、团委副主任科员、团委办公室主任、保卫处保卫科科长等工作。</w:t>
            </w:r>
          </w:p>
          <w:p>
            <w:pPr>
              <w:spacing w:line="280" w:lineRule="exact"/>
              <w:ind w:firstLine="440" w:firstLineChars="200"/>
              <w:jc w:val="left"/>
              <w:rPr>
                <w:rFonts w:hint="eastAsia"/>
                <w:szCs w:val="21"/>
                <w:lang w:val="en-US" w:eastAsia="zh-CN"/>
              </w:rPr>
            </w:pPr>
          </w:p>
          <w:p>
            <w:pPr>
              <w:spacing w:line="280" w:lineRule="exact"/>
              <w:ind w:firstLine="440" w:firstLineChars="200"/>
              <w:jc w:val="left"/>
              <w:rPr>
                <w:rFonts w:hint="eastAsia"/>
                <w:szCs w:val="21"/>
                <w:lang w:val="en-US" w:eastAsia="zh-CN"/>
              </w:rPr>
            </w:pPr>
          </w:p>
          <w:p>
            <w:pPr>
              <w:spacing w:line="280" w:lineRule="exact"/>
              <w:ind w:firstLine="440" w:firstLineChars="200"/>
              <w:jc w:val="left"/>
              <w:rPr>
                <w:rFonts w:hint="eastAsia"/>
                <w:szCs w:val="21"/>
                <w:lang w:val="en-US" w:eastAsia="zh-CN"/>
              </w:rPr>
            </w:pPr>
          </w:p>
          <w:p>
            <w:pPr>
              <w:spacing w:line="280" w:lineRule="exact"/>
              <w:ind w:firstLine="440" w:firstLineChars="200"/>
              <w:jc w:val="left"/>
              <w:rPr>
                <w:rFonts w:hint="eastAsia"/>
                <w:szCs w:val="21"/>
                <w:lang w:val="en-US" w:eastAsia="zh-CN"/>
              </w:rPr>
            </w:pPr>
          </w:p>
          <w:p>
            <w:pPr>
              <w:adjustRightInd w:val="0"/>
              <w:snapToGrid w:val="0"/>
              <w:jc w:val="both"/>
              <w:rPr>
                <w:rFonts w:hint="eastAsia" w:ascii="仿宋" w:hAnsi="仿宋" w:eastAsia="仿宋" w:cs="仿宋"/>
                <w:b w:val="0"/>
                <w:bCs w:val="0"/>
                <w:spacing w:val="60"/>
                <w:kern w:val="2"/>
                <w:sz w:val="21"/>
                <w:szCs w:val="21"/>
                <w:lang w:val="en-US" w:eastAsia="zh-CN" w:bidi="ar-SA"/>
              </w:rPr>
            </w:pPr>
          </w:p>
          <w:p>
            <w:pPr>
              <w:spacing w:line="280" w:lineRule="exact"/>
              <w:ind w:firstLine="442" w:firstLineChars="200"/>
              <w:jc w:val="left"/>
              <w:rPr>
                <w:rFonts w:hint="eastAsia"/>
                <w:b/>
                <w:bCs/>
                <w:szCs w:val="21"/>
                <w:lang w:val="en-US" w:eastAsia="zh-CN"/>
              </w:rPr>
            </w:pPr>
            <w:r>
              <w:rPr>
                <w:rFonts w:hint="eastAsia"/>
                <w:b/>
                <w:bCs/>
                <w:szCs w:val="21"/>
                <w:lang w:val="en-US" w:eastAsia="zh-CN"/>
              </w:rPr>
              <w:t>二、继续教育情况：</w:t>
            </w:r>
          </w:p>
          <w:p>
            <w:pPr>
              <w:spacing w:line="280" w:lineRule="exact"/>
              <w:ind w:firstLine="440" w:firstLineChars="200"/>
              <w:jc w:val="left"/>
              <w:rPr>
                <w:rFonts w:hint="default"/>
                <w:szCs w:val="21"/>
                <w:lang w:val="en-US" w:eastAsia="zh-CN"/>
              </w:rPr>
            </w:pPr>
            <w:r>
              <w:rPr>
                <w:rFonts w:hint="eastAsia"/>
                <w:szCs w:val="21"/>
                <w:lang w:val="en-US" w:eastAsia="zh-CN"/>
              </w:rPr>
              <w:t>1、2012年度，参加人力资源和社会保障部人事考试中心组织的全国专业技术人员计算机应用能力考试3个模块顺利通过。</w:t>
            </w:r>
          </w:p>
          <w:p>
            <w:pPr>
              <w:spacing w:line="280" w:lineRule="exact"/>
              <w:ind w:firstLine="440" w:firstLineChars="200"/>
              <w:jc w:val="left"/>
              <w:rPr>
                <w:rFonts w:hint="eastAsia"/>
                <w:szCs w:val="21"/>
                <w:lang w:val="en-US" w:eastAsia="zh-CN"/>
              </w:rPr>
            </w:pPr>
            <w:r>
              <w:rPr>
                <w:rFonts w:hint="eastAsia"/>
                <w:szCs w:val="21"/>
                <w:lang w:val="en-US" w:eastAsia="zh-CN"/>
              </w:rPr>
              <w:t>2、2015年度，参加衡阳市人社局、衡阳市干部培训中心《2015年创新能力建设》的课程学习及考试，共计24学时，取得继续教育合格证；</w:t>
            </w:r>
          </w:p>
          <w:p>
            <w:pPr>
              <w:spacing w:line="280" w:lineRule="exact"/>
              <w:ind w:firstLine="440" w:firstLineChars="200"/>
              <w:jc w:val="left"/>
              <w:rPr>
                <w:rFonts w:hint="eastAsia"/>
                <w:szCs w:val="21"/>
                <w:lang w:val="en-US" w:eastAsia="zh-CN"/>
              </w:rPr>
            </w:pPr>
            <w:r>
              <w:rPr>
                <w:rFonts w:hint="eastAsia"/>
                <w:szCs w:val="21"/>
                <w:lang w:val="en-US" w:eastAsia="zh-CN"/>
              </w:rPr>
              <w:t>3、2016年度，参加衡阳市人社局、衡阳市干部培训中心《2016年依法行政法律与我同行》的课程学习及考试，共计30学时，取得继续教育合格证；</w:t>
            </w:r>
          </w:p>
          <w:p>
            <w:pPr>
              <w:spacing w:line="280" w:lineRule="exact"/>
              <w:ind w:firstLine="440" w:firstLineChars="200"/>
              <w:jc w:val="left"/>
              <w:rPr>
                <w:rFonts w:hint="eastAsia"/>
                <w:szCs w:val="21"/>
                <w:lang w:val="en-US" w:eastAsia="zh-CN"/>
              </w:rPr>
            </w:pPr>
            <w:r>
              <w:rPr>
                <w:rFonts w:hint="eastAsia"/>
                <w:szCs w:val="21"/>
                <w:lang w:val="en-US" w:eastAsia="zh-CN"/>
              </w:rPr>
              <w:t>4、2017年度，参加衡阳市人社局、衡阳市干部培训中心《2017年保密意识与常识》的课程学习及考试，共计30学时，取得继续教育合格证；</w:t>
            </w:r>
          </w:p>
          <w:p>
            <w:pPr>
              <w:spacing w:line="280" w:lineRule="exact"/>
              <w:ind w:firstLine="440" w:firstLineChars="200"/>
              <w:jc w:val="left"/>
              <w:rPr>
                <w:rFonts w:hint="eastAsia"/>
                <w:szCs w:val="21"/>
                <w:lang w:val="en-US" w:eastAsia="zh-CN"/>
              </w:rPr>
            </w:pPr>
            <w:r>
              <w:rPr>
                <w:rFonts w:hint="eastAsia"/>
                <w:szCs w:val="21"/>
                <w:lang w:val="en-US" w:eastAsia="zh-CN"/>
              </w:rPr>
              <w:t>5、2018年度，参加衡阳市人社局、衡阳市干部培训中心《2018年开放强省与乡村振兴》的课程学习及考试，共计30学时，取得继续教育合格证；</w:t>
            </w:r>
          </w:p>
          <w:p>
            <w:pPr>
              <w:spacing w:line="280" w:lineRule="exact"/>
              <w:ind w:firstLine="440" w:firstLineChars="200"/>
              <w:jc w:val="left"/>
              <w:rPr>
                <w:rFonts w:hint="eastAsia"/>
                <w:szCs w:val="21"/>
                <w:lang w:val="en-US" w:eastAsia="zh-CN"/>
              </w:rPr>
            </w:pPr>
            <w:r>
              <w:rPr>
                <w:rFonts w:hint="eastAsia"/>
                <w:szCs w:val="21"/>
                <w:lang w:val="en-US" w:eastAsia="zh-CN"/>
              </w:rPr>
              <w:t>6、2019年度，参加衡阳市人社局、衡阳市干部培训中心《2019年“一带一路”与大国崛起》的课程学习及考试，共计30学时，取得继续教育合格证。</w:t>
            </w:r>
          </w:p>
          <w:p>
            <w:pPr>
              <w:spacing w:line="280" w:lineRule="exact"/>
              <w:ind w:firstLine="440" w:firstLineChars="200"/>
              <w:jc w:val="left"/>
              <w:rPr>
                <w:rFonts w:hint="eastAsia"/>
                <w:szCs w:val="21"/>
                <w:lang w:val="en-US" w:eastAsia="zh-CN"/>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1200" w:firstLineChars="400"/>
              <w:jc w:val="both"/>
              <w:rPr>
                <w:rFonts w:hint="eastAsia" w:ascii="方正书宋简体" w:hAnsi="Times New Roman" w:eastAsia="方正书宋简体" w:cs="Times New Roman"/>
                <w:spacing w:val="60"/>
                <w:kern w:val="2"/>
                <w:sz w:val="18"/>
                <w:szCs w:val="18"/>
                <w:lang w:val="en-US" w:eastAsia="zh-CN" w:bidi="ar-SA"/>
              </w:rPr>
            </w:pPr>
          </w:p>
          <w:p>
            <w:pPr>
              <w:spacing w:line="280" w:lineRule="exact"/>
              <w:ind w:firstLine="880" w:firstLineChars="400"/>
              <w:jc w:val="both"/>
              <w:rPr>
                <w:szCs w:val="21"/>
              </w:rPr>
            </w:pPr>
            <w:r>
              <w:rPr>
                <w:rFonts w:hint="eastAsia"/>
                <w:szCs w:val="21"/>
                <w:lang w:val="en-US" w:eastAsia="zh-CN"/>
              </w:rPr>
              <w:t>审核人签名：         人事部门盖章：</w:t>
            </w: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11814" w:type="dxa"/>
            <w:gridSpan w:val="13"/>
            <w:vMerge w:val="continue"/>
            <w:tcBorders>
              <w:left w:val="single" w:color="auto" w:sz="4" w:space="0"/>
              <w:right w:val="single" w:color="auto" w:sz="4" w:space="0"/>
            </w:tcBorders>
            <w:vAlign w:val="center"/>
          </w:tcPr>
          <w:p>
            <w:pPr>
              <w:adjustRightInd w:val="0"/>
              <w:snapToGrid w:val="0"/>
              <w:ind w:firstLine="660" w:firstLineChars="200"/>
              <w:jc w:val="left"/>
              <w:rPr>
                <w:rFonts w:hint="eastAsia" w:ascii="仿宋" w:hAnsi="仿宋" w:eastAsia="仿宋" w:cs="仿宋"/>
                <w:spacing w:val="60"/>
                <w:kern w:val="2"/>
                <w:sz w:val="21"/>
                <w:szCs w:val="21"/>
                <w:lang w:val="en-US" w:eastAsia="zh-CN" w:bidi="ar-SA"/>
              </w:rPr>
            </w:pPr>
          </w:p>
        </w:tc>
        <w:tc>
          <w:tcPr>
            <w:tcW w:w="1706"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6770" w:type="dxa"/>
            <w:gridSpan w:val="9"/>
            <w:vMerge w:val="continue"/>
            <w:tcBorders>
              <w:left w:val="single" w:color="auto" w:sz="4" w:space="0"/>
              <w:right w:val="single" w:color="auto" w:sz="4" w:space="0"/>
            </w:tcBorders>
            <w:vAlign w:val="center"/>
          </w:tcPr>
          <w:p>
            <w:pPr>
              <w:spacing w:line="280" w:lineRule="exact"/>
              <w:ind w:firstLine="221" w:firstLineChars="100"/>
              <w:rPr>
                <w:b/>
                <w:szCs w:val="21"/>
              </w:rPr>
            </w:pP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continue"/>
            <w:tcBorders>
              <w:left w:val="single" w:color="auto" w:sz="4" w:space="0"/>
              <w:right w:val="single" w:color="auto" w:sz="4" w:space="0"/>
            </w:tcBorders>
            <w:vAlign w:val="center"/>
          </w:tcPr>
          <w:p>
            <w:pPr>
              <w:spacing w:line="280" w:lineRule="exact"/>
              <w:jc w:val="center"/>
              <w:rPr>
                <w:szCs w:val="21"/>
              </w:rPr>
            </w:pPr>
          </w:p>
        </w:tc>
        <w:tc>
          <w:tcPr>
            <w:tcW w:w="11814" w:type="dxa"/>
            <w:gridSpan w:val="13"/>
            <w:tcBorders>
              <w:top w:val="single" w:color="auto" w:sz="4" w:space="0"/>
              <w:left w:val="single" w:color="auto" w:sz="4" w:space="0"/>
              <w:right w:val="single" w:color="auto" w:sz="4" w:space="0"/>
            </w:tcBorders>
            <w:vAlign w:val="center"/>
          </w:tcPr>
          <w:p>
            <w:pPr>
              <w:adjustRightInd w:val="0"/>
              <w:snapToGrid w:val="0"/>
              <w:ind w:firstLine="440" w:firstLineChars="200"/>
              <w:jc w:val="center"/>
              <w:rPr>
                <w:rFonts w:hint="eastAsia" w:ascii="仿宋" w:hAnsi="仿宋" w:eastAsia="仿宋" w:cs="仿宋"/>
                <w:spacing w:val="60"/>
                <w:kern w:val="2"/>
                <w:sz w:val="21"/>
                <w:szCs w:val="21"/>
                <w:lang w:val="en-US" w:eastAsia="zh-CN" w:bidi="ar-SA"/>
              </w:rPr>
            </w:pPr>
            <w:r>
              <w:rPr>
                <w:rFonts w:hint="eastAsia"/>
                <w:szCs w:val="21"/>
                <w:lang w:val="en-US" w:eastAsia="zh-CN"/>
              </w:rPr>
              <w:t>任现职以来主要业绩</w:t>
            </w:r>
          </w:p>
        </w:tc>
        <w:tc>
          <w:tcPr>
            <w:tcW w:w="1706"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jc w:val="center"/>
        </w:trPr>
        <w:tc>
          <w:tcPr>
            <w:tcW w:w="6770" w:type="dxa"/>
            <w:gridSpan w:val="9"/>
            <w:vMerge w:val="continue"/>
            <w:tcBorders>
              <w:left w:val="single" w:color="auto" w:sz="4" w:space="0"/>
              <w:right w:val="single" w:color="auto" w:sz="4" w:space="0"/>
            </w:tcBorders>
            <w:vAlign w:val="center"/>
          </w:tcPr>
          <w:p>
            <w:pPr>
              <w:spacing w:line="280" w:lineRule="exact"/>
              <w:ind w:firstLine="220" w:firstLineChars="100"/>
              <w:rPr>
                <w:szCs w:val="21"/>
              </w:rPr>
            </w:pP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rPr>
                <w:szCs w:val="21"/>
              </w:rPr>
            </w:pPr>
          </w:p>
        </w:tc>
        <w:tc>
          <w:tcPr>
            <w:tcW w:w="1324" w:type="dxa"/>
            <w:vMerge w:val="restart"/>
            <w:tcBorders>
              <w:left w:val="single" w:color="auto" w:sz="4" w:space="0"/>
              <w:right w:val="single" w:color="auto" w:sz="4" w:space="0"/>
            </w:tcBorders>
            <w:vAlign w:val="center"/>
          </w:tcPr>
          <w:p>
            <w:pPr>
              <w:spacing w:line="280" w:lineRule="exact"/>
              <w:jc w:val="center"/>
              <w:rPr>
                <w:sz w:val="18"/>
                <w:szCs w:val="18"/>
              </w:rPr>
            </w:pPr>
            <w:r>
              <w:rPr>
                <w:rFonts w:hint="eastAsia"/>
                <w:szCs w:val="21"/>
                <w:lang w:val="en-US" w:eastAsia="zh-CN"/>
              </w:rPr>
              <w:t>承担或参与的科研教研技术开发项目（项目名称、立项审批单位、项目编号）及鉴定获奖情况）</w:t>
            </w:r>
          </w:p>
        </w:tc>
        <w:tc>
          <w:tcPr>
            <w:tcW w:w="1979" w:type="dxa"/>
            <w:gridSpan w:val="3"/>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r>
              <w:rPr>
                <w:rFonts w:hint="eastAsia"/>
                <w:szCs w:val="21"/>
                <w:lang w:val="en-US" w:eastAsia="zh-CN"/>
              </w:rPr>
              <w:t>主持研究项目数</w:t>
            </w:r>
          </w:p>
        </w:tc>
        <w:tc>
          <w:tcPr>
            <w:tcW w:w="940" w:type="dxa"/>
            <w:tcBorders>
              <w:left w:val="single" w:color="auto" w:sz="4" w:space="0"/>
              <w:right w:val="single" w:color="auto" w:sz="4" w:space="0"/>
            </w:tcBorders>
            <w:vAlign w:val="center"/>
          </w:tcPr>
          <w:p>
            <w:pPr>
              <w:spacing w:line="280" w:lineRule="exact"/>
              <w:ind w:firstLine="220" w:firstLineChars="100"/>
              <w:jc w:val="both"/>
              <w:rPr>
                <w:rFonts w:hint="eastAsia"/>
                <w:szCs w:val="21"/>
                <w:lang w:val="en-US" w:eastAsia="zh-CN"/>
              </w:rPr>
            </w:pPr>
            <w:r>
              <w:rPr>
                <w:rFonts w:hint="eastAsia"/>
                <w:szCs w:val="21"/>
                <w:lang w:val="en-US" w:eastAsia="zh-CN"/>
              </w:rPr>
              <w:t>2</w:t>
            </w:r>
          </w:p>
        </w:tc>
        <w:tc>
          <w:tcPr>
            <w:tcW w:w="1170" w:type="dxa"/>
            <w:tcBorders>
              <w:left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参与研究项目数</w:t>
            </w:r>
          </w:p>
        </w:tc>
        <w:tc>
          <w:tcPr>
            <w:tcW w:w="850" w:type="dxa"/>
            <w:gridSpan w:val="2"/>
            <w:tcBorders>
              <w:left w:val="single" w:color="auto" w:sz="4" w:space="0"/>
              <w:right w:val="single" w:color="auto" w:sz="4" w:space="0"/>
            </w:tcBorders>
            <w:vAlign w:val="center"/>
          </w:tcPr>
          <w:p>
            <w:pPr>
              <w:spacing w:line="280" w:lineRule="exact"/>
              <w:ind w:firstLine="220" w:firstLineChars="100"/>
              <w:jc w:val="center"/>
              <w:rPr>
                <w:rFonts w:hint="eastAsia"/>
                <w:szCs w:val="21"/>
                <w:lang w:val="en-US" w:eastAsia="zh-CN"/>
              </w:rPr>
            </w:pPr>
            <w:r>
              <w:rPr>
                <w:rFonts w:hint="eastAsia"/>
                <w:szCs w:val="21"/>
                <w:lang w:val="en-US" w:eastAsia="zh-CN"/>
              </w:rPr>
              <w:t>1</w:t>
            </w:r>
          </w:p>
        </w:tc>
        <w:tc>
          <w:tcPr>
            <w:tcW w:w="1320" w:type="dxa"/>
            <w:tcBorders>
              <w:left w:val="single" w:color="auto" w:sz="4" w:space="0"/>
              <w:right w:val="single" w:color="auto" w:sz="4" w:space="0"/>
            </w:tcBorders>
            <w:vAlign w:val="center"/>
          </w:tcPr>
          <w:p>
            <w:pPr>
              <w:spacing w:line="280" w:lineRule="exact"/>
              <w:ind w:firstLine="220" w:firstLineChars="100"/>
              <w:jc w:val="center"/>
              <w:rPr>
                <w:rFonts w:hint="eastAsia"/>
                <w:szCs w:val="21"/>
                <w:lang w:val="en-US" w:eastAsia="zh-CN"/>
              </w:rPr>
            </w:pPr>
            <w:r>
              <w:rPr>
                <w:rFonts w:hint="eastAsia"/>
                <w:szCs w:val="21"/>
                <w:lang w:val="en-US" w:eastAsia="zh-CN"/>
              </w:rPr>
              <w:t>科研经费</w:t>
            </w:r>
          </w:p>
        </w:tc>
        <w:tc>
          <w:tcPr>
            <w:tcW w:w="1245" w:type="dxa"/>
            <w:tcBorders>
              <w:left w:val="single" w:color="auto" w:sz="4" w:space="0"/>
              <w:right w:val="single" w:color="auto" w:sz="4" w:space="0"/>
            </w:tcBorders>
            <w:vAlign w:val="center"/>
          </w:tcPr>
          <w:p>
            <w:pPr>
              <w:spacing w:line="280" w:lineRule="exact"/>
              <w:ind w:firstLine="220" w:firstLineChars="100"/>
              <w:jc w:val="center"/>
              <w:rPr>
                <w:rFonts w:hint="eastAsia"/>
                <w:szCs w:val="21"/>
                <w:lang w:val="en-US" w:eastAsia="zh-CN"/>
              </w:rPr>
            </w:pPr>
            <w:r>
              <w:rPr>
                <w:rFonts w:hint="eastAsia"/>
                <w:szCs w:val="21"/>
                <w:lang w:val="en-US" w:eastAsia="zh-CN"/>
              </w:rPr>
              <w:t>0.9万</w:t>
            </w:r>
          </w:p>
        </w:tc>
        <w:tc>
          <w:tcPr>
            <w:tcW w:w="1509" w:type="dxa"/>
            <w:tcBorders>
              <w:left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技术开发或社会服务项目数</w:t>
            </w:r>
          </w:p>
        </w:tc>
        <w:tc>
          <w:tcPr>
            <w:tcW w:w="716" w:type="dxa"/>
            <w:tcBorders>
              <w:left w:val="single" w:color="auto" w:sz="4" w:space="0"/>
              <w:right w:val="single" w:color="auto" w:sz="4" w:space="0"/>
            </w:tcBorders>
            <w:vAlign w:val="center"/>
          </w:tcPr>
          <w:p>
            <w:pPr>
              <w:spacing w:line="280" w:lineRule="exact"/>
              <w:ind w:firstLine="220" w:firstLineChars="100"/>
              <w:jc w:val="center"/>
              <w:rPr>
                <w:rFonts w:hint="eastAsia"/>
                <w:szCs w:val="21"/>
                <w:lang w:val="en-US" w:eastAsia="zh-CN"/>
              </w:rPr>
            </w:pPr>
          </w:p>
        </w:tc>
        <w:tc>
          <w:tcPr>
            <w:tcW w:w="975" w:type="dxa"/>
            <w:tcBorders>
              <w:left w:val="single" w:color="auto" w:sz="4" w:space="0"/>
              <w:right w:val="single" w:color="auto" w:sz="4" w:space="0"/>
            </w:tcBorders>
            <w:vAlign w:val="center"/>
          </w:tcPr>
          <w:p>
            <w:pPr>
              <w:spacing w:line="280" w:lineRule="exact"/>
              <w:jc w:val="center"/>
              <w:rPr>
                <w:rFonts w:hint="eastAsia"/>
                <w:szCs w:val="21"/>
                <w:lang w:val="en-US" w:eastAsia="zh-CN"/>
              </w:rPr>
            </w:pPr>
            <w:r>
              <w:rPr>
                <w:rFonts w:hint="eastAsia"/>
                <w:szCs w:val="21"/>
                <w:lang w:val="en-US" w:eastAsia="zh-CN"/>
              </w:rPr>
              <w:t>专利数</w:t>
            </w:r>
          </w:p>
        </w:tc>
        <w:tc>
          <w:tcPr>
            <w:tcW w:w="1110" w:type="dxa"/>
            <w:tcBorders>
              <w:left w:val="single" w:color="auto" w:sz="4" w:space="0"/>
              <w:right w:val="single" w:color="auto" w:sz="4" w:space="0"/>
            </w:tcBorders>
            <w:vAlign w:val="center"/>
          </w:tcPr>
          <w:p>
            <w:pPr>
              <w:spacing w:line="280" w:lineRule="exact"/>
              <w:jc w:val="both"/>
              <w:rPr>
                <w:rFonts w:hint="eastAsia"/>
                <w:szCs w:val="21"/>
                <w:lang w:val="en-US" w:eastAsia="zh-CN"/>
              </w:rPr>
            </w:pPr>
            <w:r>
              <w:rPr>
                <w:rFonts w:hint="eastAsia"/>
                <w:szCs w:val="21"/>
                <w:lang w:val="en-US" w:eastAsia="zh-CN"/>
              </w:rPr>
              <w:t>10</w:t>
            </w:r>
          </w:p>
          <w:p>
            <w:pPr>
              <w:spacing w:line="280" w:lineRule="exact"/>
              <w:jc w:val="left"/>
              <w:rPr>
                <w:rFonts w:hint="default"/>
                <w:szCs w:val="21"/>
                <w:lang w:val="en-US" w:eastAsia="zh-CN"/>
              </w:rPr>
            </w:pPr>
            <w:r>
              <w:rPr>
                <w:rFonts w:hint="eastAsia"/>
                <w:szCs w:val="21"/>
                <w:lang w:val="en-US" w:eastAsia="zh-CN"/>
              </w:rPr>
              <w:t>（软著）</w:t>
            </w:r>
          </w:p>
        </w:tc>
        <w:tc>
          <w:tcPr>
            <w:tcW w:w="1706"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5" w:hRule="atLeast"/>
          <w:jc w:val="center"/>
        </w:trPr>
        <w:tc>
          <w:tcPr>
            <w:tcW w:w="6770" w:type="dxa"/>
            <w:gridSpan w:val="9"/>
            <w:vMerge w:val="continue"/>
            <w:tcBorders>
              <w:left w:val="single" w:color="auto" w:sz="4" w:space="0"/>
              <w:right w:val="single" w:color="auto" w:sz="4" w:space="0"/>
            </w:tcBorders>
            <w:vAlign w:val="center"/>
          </w:tcPr>
          <w:p>
            <w:pPr>
              <w:spacing w:line="280" w:lineRule="exact"/>
              <w:ind w:firstLine="220" w:firstLineChars="100"/>
            </w:pPr>
          </w:p>
        </w:tc>
        <w:tc>
          <w:tcPr>
            <w:tcW w:w="722" w:type="dxa"/>
            <w:vMerge w:val="continue"/>
            <w:tcBorders>
              <w:left w:val="single" w:color="auto" w:sz="4" w:space="0"/>
              <w:right w:val="single" w:color="auto" w:sz="4" w:space="0"/>
            </w:tcBorders>
            <w:vAlign w:val="center"/>
          </w:tcPr>
          <w:p>
            <w:pPr>
              <w:spacing w:line="280" w:lineRule="exact"/>
              <w:ind w:firstLine="220" w:firstLineChars="100"/>
              <w:jc w:val="center"/>
            </w:pPr>
          </w:p>
        </w:tc>
        <w:tc>
          <w:tcPr>
            <w:tcW w:w="1324" w:type="dxa"/>
            <w:vMerge w:val="continue"/>
            <w:tcBorders>
              <w:left w:val="single" w:color="auto" w:sz="4" w:space="0"/>
              <w:right w:val="single" w:color="auto" w:sz="4" w:space="0"/>
            </w:tcBorders>
            <w:vAlign w:val="center"/>
          </w:tcPr>
          <w:p>
            <w:pPr>
              <w:spacing w:line="280" w:lineRule="exact"/>
              <w:ind w:firstLine="220" w:firstLineChars="100"/>
              <w:jc w:val="center"/>
            </w:pPr>
          </w:p>
        </w:tc>
        <w:tc>
          <w:tcPr>
            <w:tcW w:w="11814" w:type="dxa"/>
            <w:gridSpan w:val="13"/>
            <w:tcBorders>
              <w:left w:val="single" w:color="auto" w:sz="4" w:space="0"/>
              <w:right w:val="single" w:color="auto" w:sz="4" w:space="0"/>
            </w:tcBorders>
            <w:vAlign w:val="top"/>
          </w:tcPr>
          <w:p>
            <w:pPr>
              <w:spacing w:line="280" w:lineRule="exact"/>
              <w:ind w:firstLine="442" w:firstLineChars="200"/>
              <w:jc w:val="both"/>
              <w:rPr>
                <w:rFonts w:hint="eastAsia"/>
                <w:b/>
                <w:bCs/>
                <w:szCs w:val="21"/>
                <w:lang w:val="en-US" w:eastAsia="zh-CN"/>
              </w:rPr>
            </w:pPr>
            <w:r>
              <w:rPr>
                <w:rFonts w:hint="eastAsia"/>
                <w:b/>
                <w:bCs/>
                <w:szCs w:val="21"/>
                <w:lang w:val="en-US" w:eastAsia="zh-CN"/>
              </w:rPr>
              <w:t>一、课题及项目：</w:t>
            </w:r>
          </w:p>
          <w:p>
            <w:pPr>
              <w:spacing w:line="280" w:lineRule="exact"/>
              <w:ind w:firstLine="440" w:firstLineChars="200"/>
              <w:jc w:val="both"/>
              <w:rPr>
                <w:rFonts w:hint="eastAsia"/>
                <w:szCs w:val="21"/>
                <w:lang w:val="en-US" w:eastAsia="zh-CN"/>
              </w:rPr>
            </w:pPr>
            <w:r>
              <w:rPr>
                <w:rFonts w:hint="eastAsia"/>
                <w:szCs w:val="21"/>
                <w:lang w:val="en-US" w:eastAsia="zh-CN"/>
              </w:rPr>
              <w:t>1、主持课题《当代城市社区音乐文化研究——基于衡阳市的考察》获湖南省省教育厅科学研究项目立项（湘教通﹝2017﹞403号文件），项目编号为17C0387，科研经费为0.9万元；</w:t>
            </w:r>
          </w:p>
          <w:p>
            <w:pPr>
              <w:spacing w:line="280" w:lineRule="exact"/>
              <w:ind w:firstLine="440" w:firstLineChars="200"/>
              <w:jc w:val="both"/>
              <w:rPr>
                <w:rFonts w:hint="eastAsia"/>
                <w:szCs w:val="21"/>
                <w:lang w:val="en-US" w:eastAsia="zh-CN"/>
              </w:rPr>
            </w:pPr>
            <w:r>
              <w:rPr>
                <w:rFonts w:hint="eastAsia"/>
                <w:szCs w:val="21"/>
                <w:lang w:val="en-US" w:eastAsia="zh-CN"/>
              </w:rPr>
              <w:t xml:space="preserve">2、主持学校教学重点项目《大学生社团活动系统设计与实践》，项目编号为（2015YJSFX23）；   </w:t>
            </w:r>
          </w:p>
          <w:p>
            <w:pPr>
              <w:spacing w:line="280" w:lineRule="exact"/>
              <w:ind w:firstLine="440" w:firstLineChars="200"/>
              <w:jc w:val="both"/>
              <w:rPr>
                <w:rFonts w:hint="eastAsia"/>
                <w:szCs w:val="21"/>
                <w:lang w:val="en-US" w:eastAsia="zh-CN"/>
              </w:rPr>
            </w:pPr>
            <w:r>
              <w:rPr>
                <w:rFonts w:hint="eastAsia"/>
                <w:szCs w:val="21"/>
                <w:lang w:val="en-US" w:eastAsia="zh-CN"/>
              </w:rPr>
              <w:t>3、参与学校教学重点项目《学生综合素质培养》，项目编号为（2015YJSFX22）。</w:t>
            </w:r>
          </w:p>
          <w:p>
            <w:pPr>
              <w:spacing w:line="280" w:lineRule="exact"/>
              <w:ind w:firstLine="442" w:firstLineChars="200"/>
              <w:jc w:val="both"/>
              <w:rPr>
                <w:rFonts w:hint="eastAsia"/>
                <w:b/>
                <w:bCs/>
                <w:szCs w:val="21"/>
                <w:lang w:val="en-US" w:eastAsia="zh-CN"/>
              </w:rPr>
            </w:pPr>
            <w:r>
              <w:rPr>
                <w:rFonts w:hint="eastAsia"/>
                <w:b/>
                <w:bCs/>
                <w:szCs w:val="21"/>
                <w:lang w:val="en-US" w:eastAsia="zh-CN"/>
              </w:rPr>
              <w:t>二、软著：</w:t>
            </w:r>
          </w:p>
          <w:p>
            <w:pPr>
              <w:spacing w:line="280" w:lineRule="exact"/>
              <w:ind w:firstLine="440" w:firstLineChars="200"/>
              <w:jc w:val="both"/>
              <w:rPr>
                <w:rFonts w:hint="default"/>
                <w:szCs w:val="21"/>
                <w:lang w:val="en-US" w:eastAsia="zh-CN"/>
              </w:rPr>
            </w:pPr>
            <w:r>
              <w:rPr>
                <w:rFonts w:hint="eastAsia"/>
                <w:szCs w:val="21"/>
                <w:lang w:val="en-US" w:eastAsia="zh-CN"/>
              </w:rPr>
              <w:t>1、互动数字音乐教学演示系统V1.0，中华人民共和国国家版权局，登记号2019SR0938324；</w:t>
            </w:r>
          </w:p>
          <w:p>
            <w:pPr>
              <w:spacing w:line="280" w:lineRule="exact"/>
              <w:ind w:firstLine="440" w:firstLineChars="200"/>
              <w:jc w:val="both"/>
              <w:rPr>
                <w:rFonts w:hint="eastAsia"/>
                <w:szCs w:val="21"/>
                <w:lang w:val="en-US" w:eastAsia="zh-CN"/>
              </w:rPr>
            </w:pPr>
            <w:r>
              <w:rPr>
                <w:rFonts w:hint="eastAsia"/>
                <w:szCs w:val="21"/>
                <w:lang w:val="en-US" w:eastAsia="zh-CN"/>
              </w:rPr>
              <w:t>2、用于音乐教学的多功能电子乐器教学系统V1.0，中华人民共和国国家版权局，登记号：2019SR0915147；</w:t>
            </w:r>
          </w:p>
          <w:p>
            <w:pPr>
              <w:spacing w:line="280" w:lineRule="exact"/>
              <w:ind w:firstLine="440" w:firstLineChars="200"/>
              <w:jc w:val="both"/>
              <w:rPr>
                <w:rFonts w:hint="eastAsia"/>
                <w:szCs w:val="21"/>
                <w:lang w:val="en-US" w:eastAsia="zh-CN"/>
              </w:rPr>
            </w:pPr>
            <w:r>
              <w:rPr>
                <w:rFonts w:hint="eastAsia"/>
                <w:szCs w:val="21"/>
                <w:lang w:val="en-US" w:eastAsia="zh-CN"/>
              </w:rPr>
              <w:t>3、支持多交互应用模式的音乐教育平台系统V1.0，中华人民共和国国家版权局，登记号：2019SR1051373；</w:t>
            </w:r>
          </w:p>
          <w:p>
            <w:pPr>
              <w:spacing w:line="280" w:lineRule="exact"/>
              <w:ind w:firstLine="440" w:firstLineChars="200"/>
              <w:jc w:val="both"/>
              <w:rPr>
                <w:rFonts w:hint="eastAsia"/>
                <w:szCs w:val="21"/>
                <w:lang w:val="en-US" w:eastAsia="zh-CN"/>
              </w:rPr>
            </w:pPr>
            <w:r>
              <w:rPr>
                <w:rFonts w:hint="eastAsia"/>
                <w:szCs w:val="21"/>
                <w:lang w:val="en-US" w:eastAsia="zh-CN"/>
              </w:rPr>
              <w:t>4、基于大数据的思想政治材料储存与查询管理系统V1.0，中华人民共和国国家版权局，登记号：2019SR1076075；</w:t>
            </w:r>
          </w:p>
          <w:p>
            <w:pPr>
              <w:spacing w:line="280" w:lineRule="exact"/>
              <w:ind w:firstLine="440" w:firstLineChars="200"/>
              <w:jc w:val="both"/>
              <w:rPr>
                <w:rFonts w:hint="eastAsia"/>
                <w:szCs w:val="21"/>
                <w:lang w:val="en-US" w:eastAsia="zh-CN"/>
              </w:rPr>
            </w:pPr>
            <w:r>
              <w:rPr>
                <w:rFonts w:hint="eastAsia"/>
                <w:szCs w:val="21"/>
                <w:lang w:val="en-US" w:eastAsia="zh-CN"/>
              </w:rPr>
              <w:t>5、基于互联网思想政治理论远程教学系统V1.0，中华人民共和国国家版权局，登记号：2019SR905864；</w:t>
            </w:r>
          </w:p>
          <w:p>
            <w:pPr>
              <w:spacing w:line="280" w:lineRule="exact"/>
              <w:ind w:firstLine="440" w:firstLineChars="200"/>
              <w:jc w:val="both"/>
              <w:rPr>
                <w:rFonts w:hint="eastAsia"/>
                <w:szCs w:val="21"/>
                <w:lang w:val="en-US" w:eastAsia="zh-CN"/>
              </w:rPr>
            </w:pPr>
            <w:r>
              <w:rPr>
                <w:rFonts w:hint="eastAsia"/>
                <w:szCs w:val="21"/>
                <w:lang w:val="en-US" w:eastAsia="zh-CN"/>
              </w:rPr>
              <w:t>6、应用于高校思想政治课的互动式智能教学系统V1.0，中华人民共和国国家版权局，登记号：2019SR0953766；</w:t>
            </w:r>
          </w:p>
          <w:p>
            <w:pPr>
              <w:spacing w:line="280" w:lineRule="exact"/>
              <w:ind w:firstLine="440" w:firstLineChars="200"/>
              <w:jc w:val="both"/>
              <w:rPr>
                <w:rFonts w:hint="default"/>
                <w:szCs w:val="21"/>
                <w:lang w:val="en-US" w:eastAsia="zh-CN"/>
              </w:rPr>
            </w:pPr>
            <w:r>
              <w:rPr>
                <w:rFonts w:hint="eastAsia"/>
                <w:szCs w:val="21"/>
                <w:lang w:val="en-US" w:eastAsia="zh-CN"/>
              </w:rPr>
              <w:t xml:space="preserve">7、生态艺术教育教学系统V1.0，中华人民共和国国家版权局，登记号：2019SR1089897 </w:t>
            </w:r>
          </w:p>
          <w:p>
            <w:pPr>
              <w:spacing w:line="280" w:lineRule="exact"/>
              <w:ind w:firstLine="440" w:firstLineChars="200"/>
              <w:jc w:val="both"/>
              <w:rPr>
                <w:rFonts w:hint="default"/>
                <w:szCs w:val="21"/>
                <w:lang w:val="en-US" w:eastAsia="zh-CN"/>
              </w:rPr>
            </w:pPr>
            <w:r>
              <w:rPr>
                <w:rFonts w:hint="eastAsia"/>
                <w:szCs w:val="21"/>
                <w:lang w:val="en-US" w:eastAsia="zh-CN"/>
              </w:rPr>
              <w:t xml:space="preserve">8、适应于艺术教学的多功能媒体教学控制系统V1.0，中华人民共和国国家版权局，登记号：2019SR1089907； </w:t>
            </w:r>
          </w:p>
          <w:p>
            <w:pPr>
              <w:spacing w:line="280" w:lineRule="exact"/>
              <w:ind w:firstLine="440" w:firstLineChars="200"/>
              <w:jc w:val="both"/>
              <w:rPr>
                <w:rFonts w:hint="default"/>
                <w:szCs w:val="21"/>
                <w:lang w:val="en-US" w:eastAsia="zh-CN"/>
              </w:rPr>
            </w:pPr>
            <w:r>
              <w:rPr>
                <w:rFonts w:hint="eastAsia"/>
                <w:szCs w:val="21"/>
                <w:lang w:val="en-US" w:eastAsia="zh-CN"/>
              </w:rPr>
              <w:t>9、学生社团活动评价管理系统V1.0，中华人民共和国国家版权局，登记号：2019SR1100438；</w:t>
            </w:r>
          </w:p>
          <w:p>
            <w:pPr>
              <w:spacing w:line="280" w:lineRule="exact"/>
              <w:ind w:firstLine="440" w:firstLineChars="200"/>
              <w:jc w:val="both"/>
              <w:rPr>
                <w:rFonts w:hint="default"/>
                <w:szCs w:val="21"/>
                <w:lang w:val="en-US" w:eastAsia="zh-CN"/>
              </w:rPr>
            </w:pPr>
            <w:r>
              <w:rPr>
                <w:rFonts w:hint="eastAsia"/>
                <w:szCs w:val="21"/>
                <w:lang w:val="en-US" w:eastAsia="zh-CN"/>
              </w:rPr>
              <w:t xml:space="preserve">10、学生干部联络管理系统V1.0，中华人民共和国国家版权局，登记号：2019SR1100829。 </w:t>
            </w:r>
          </w:p>
        </w:tc>
        <w:tc>
          <w:tcPr>
            <w:tcW w:w="1706" w:type="dxa"/>
            <w:vMerge w:val="continue"/>
            <w:tcBorders>
              <w:left w:val="single" w:color="auto" w:sz="4" w:space="0"/>
              <w:right w:val="single" w:color="auto" w:sz="4" w:space="0"/>
            </w:tcBorders>
            <w:vAlign w:val="center"/>
          </w:tcPr>
          <w:p>
            <w:pPr>
              <w:spacing w:line="280" w:lineRule="exact"/>
              <w:ind w:firstLine="220" w:firstLineChars="10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5" w:hRule="atLeast"/>
          <w:jc w:val="center"/>
        </w:trPr>
        <w:tc>
          <w:tcPr>
            <w:tcW w:w="6770" w:type="dxa"/>
            <w:gridSpan w:val="9"/>
            <w:vMerge w:val="continue"/>
            <w:tcBorders>
              <w:left w:val="single" w:color="auto" w:sz="4" w:space="0"/>
              <w:right w:val="single" w:color="auto" w:sz="4" w:space="0"/>
            </w:tcBorders>
            <w:vAlign w:val="center"/>
          </w:tcPr>
          <w:p>
            <w:pPr>
              <w:spacing w:line="280" w:lineRule="exact"/>
              <w:rPr>
                <w:szCs w:val="21"/>
              </w:rPr>
            </w:pPr>
          </w:p>
        </w:tc>
        <w:tc>
          <w:tcPr>
            <w:tcW w:w="2046"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rFonts w:hint="default" w:eastAsia="宋体"/>
                <w:szCs w:val="21"/>
                <w:lang w:val="en-US" w:eastAsia="zh-CN"/>
              </w:rPr>
            </w:pPr>
            <w:r>
              <w:rPr>
                <w:szCs w:val="21"/>
              </w:rPr>
              <w:t>教育工作业绩</w:t>
            </w:r>
          </w:p>
        </w:tc>
        <w:tc>
          <w:tcPr>
            <w:tcW w:w="11814" w:type="dxa"/>
            <w:gridSpan w:val="13"/>
            <w:tcBorders>
              <w:left w:val="single" w:color="auto" w:sz="4" w:space="0"/>
              <w:right w:val="single" w:color="auto" w:sz="4" w:space="0"/>
            </w:tcBorders>
            <w:vAlign w:val="top"/>
          </w:tcPr>
          <w:p>
            <w:pPr>
              <w:spacing w:line="280" w:lineRule="exact"/>
              <w:jc w:val="both"/>
              <w:rPr>
                <w:rFonts w:hint="eastAsia"/>
                <w:szCs w:val="21"/>
                <w:lang w:val="en-US" w:eastAsia="zh-CN"/>
              </w:rPr>
            </w:pPr>
          </w:p>
          <w:p>
            <w:pPr>
              <w:spacing w:line="280" w:lineRule="exact"/>
              <w:ind w:firstLine="440" w:firstLineChars="200"/>
              <w:jc w:val="both"/>
              <w:rPr>
                <w:rFonts w:hint="eastAsia"/>
                <w:szCs w:val="21"/>
                <w:lang w:val="en-US" w:eastAsia="zh-CN"/>
              </w:rPr>
            </w:pPr>
            <w:r>
              <w:rPr>
                <w:rFonts w:hint="eastAsia"/>
                <w:szCs w:val="21"/>
                <w:lang w:val="en-US" w:eastAsia="zh-CN"/>
              </w:rPr>
              <w:t>1、2007-2009年担任铁运1701、铁运172、铁信1701班班主任工作；</w:t>
            </w:r>
          </w:p>
          <w:p>
            <w:pPr>
              <w:spacing w:line="280" w:lineRule="exact"/>
              <w:ind w:firstLine="440" w:firstLineChars="200"/>
              <w:jc w:val="both"/>
              <w:rPr>
                <w:rFonts w:hint="eastAsia"/>
                <w:szCs w:val="21"/>
                <w:lang w:val="en-US" w:eastAsia="zh-CN"/>
              </w:rPr>
            </w:pPr>
            <w:r>
              <w:rPr>
                <w:rFonts w:hint="eastAsia"/>
                <w:szCs w:val="21"/>
                <w:lang w:val="en-US" w:eastAsia="zh-CN"/>
              </w:rPr>
              <w:t>2、2014年—2019年被校团委聘为校学生会、大学生艺术团、大学生音乐社指导老师，指导社团开展各类素质教育类活动；</w:t>
            </w:r>
          </w:p>
          <w:p>
            <w:pPr>
              <w:spacing w:line="280" w:lineRule="exact"/>
              <w:ind w:firstLine="440" w:firstLineChars="200"/>
              <w:jc w:val="both"/>
              <w:rPr>
                <w:rFonts w:hint="eastAsia"/>
                <w:szCs w:val="21"/>
                <w:lang w:val="en-US" w:eastAsia="zh-CN"/>
              </w:rPr>
            </w:pPr>
            <w:r>
              <w:rPr>
                <w:rFonts w:hint="eastAsia"/>
                <w:szCs w:val="21"/>
                <w:lang w:val="en-US" w:eastAsia="zh-CN"/>
              </w:rPr>
              <w:t>3、2017年暑期带领学生参加湖南省大学生暑期“情牵脱贫攻坚”主题实践活动，被学校及衡南县扶贫开发办公室评为“优秀指导教师”。</w:t>
            </w:r>
          </w:p>
          <w:p>
            <w:pPr>
              <w:spacing w:line="280" w:lineRule="exact"/>
              <w:ind w:firstLine="440" w:firstLineChars="200"/>
              <w:jc w:val="both"/>
              <w:rPr>
                <w:rFonts w:hint="eastAsia"/>
                <w:szCs w:val="21"/>
                <w:lang w:val="en-US" w:eastAsia="zh-CN"/>
              </w:rPr>
            </w:pPr>
            <w:r>
              <w:rPr>
                <w:rFonts w:hint="eastAsia"/>
                <w:szCs w:val="21"/>
                <w:lang w:val="en-US" w:eastAsia="zh-CN"/>
              </w:rPr>
              <w:t>4、2018年3月参加健康中国˙魅力衡阳”2018衡阳˙珠晖国际马拉松赛宣传片拍摄，指导学生进行形象代言，被评为优秀指导老师；</w:t>
            </w:r>
          </w:p>
          <w:p>
            <w:pPr>
              <w:spacing w:line="280" w:lineRule="exact"/>
              <w:ind w:firstLine="440" w:firstLineChars="200"/>
              <w:jc w:val="both"/>
              <w:rPr>
                <w:rFonts w:hint="eastAsia"/>
                <w:szCs w:val="21"/>
                <w:lang w:val="en-US" w:eastAsia="zh-CN"/>
              </w:rPr>
            </w:pPr>
            <w:r>
              <w:rPr>
                <w:rFonts w:hint="eastAsia"/>
                <w:szCs w:val="21"/>
                <w:lang w:val="en-US" w:eastAsia="zh-CN"/>
              </w:rPr>
              <w:t>5、</w:t>
            </w:r>
            <w:r>
              <w:rPr>
                <w:rFonts w:hint="default"/>
                <w:szCs w:val="21"/>
                <w:lang w:val="en-US" w:eastAsia="zh-CN"/>
              </w:rPr>
              <w:t>2018</w:t>
            </w:r>
            <w:r>
              <w:rPr>
                <w:rFonts w:hint="eastAsia"/>
                <w:szCs w:val="21"/>
                <w:lang w:val="en-US" w:eastAsia="zh-CN"/>
              </w:rPr>
              <w:t>被评为</w:t>
            </w:r>
            <w:r>
              <w:rPr>
                <w:rFonts w:hint="default"/>
                <w:szCs w:val="21"/>
                <w:lang w:val="en-US" w:eastAsia="zh-CN"/>
              </w:rPr>
              <w:t>珠晖区优秀团干</w:t>
            </w:r>
            <w:r>
              <w:rPr>
                <w:rFonts w:hint="eastAsia"/>
                <w:szCs w:val="21"/>
                <w:lang w:val="en-US" w:eastAsia="zh-CN"/>
              </w:rPr>
              <w:t>；</w:t>
            </w:r>
          </w:p>
          <w:p>
            <w:pPr>
              <w:spacing w:line="280" w:lineRule="exact"/>
              <w:ind w:firstLine="440" w:firstLineChars="200"/>
              <w:jc w:val="both"/>
              <w:rPr>
                <w:rFonts w:hint="eastAsia"/>
                <w:szCs w:val="21"/>
                <w:lang w:val="en-US" w:eastAsia="zh-CN"/>
              </w:rPr>
            </w:pPr>
            <w:r>
              <w:rPr>
                <w:rFonts w:hint="eastAsia"/>
                <w:szCs w:val="21"/>
                <w:lang w:val="en-US" w:eastAsia="zh-CN"/>
              </w:rPr>
              <w:t>6、2018被授予湖南省第十三届运动会、第十届残运会志愿服务工作贡献奖；</w:t>
            </w:r>
          </w:p>
          <w:p>
            <w:pPr>
              <w:spacing w:line="280" w:lineRule="exact"/>
              <w:ind w:firstLine="440" w:firstLineChars="200"/>
              <w:jc w:val="both"/>
              <w:rPr>
                <w:rFonts w:hint="default"/>
                <w:szCs w:val="21"/>
                <w:lang w:val="en-US" w:eastAsia="zh-CN"/>
              </w:rPr>
            </w:pPr>
            <w:r>
              <w:rPr>
                <w:rFonts w:hint="eastAsia"/>
                <w:szCs w:val="21"/>
                <w:lang w:val="en-US" w:eastAsia="zh-CN"/>
              </w:rPr>
              <w:t>7、2019年被评为学校优秀党员。</w:t>
            </w:r>
          </w:p>
        </w:tc>
        <w:tc>
          <w:tcPr>
            <w:tcW w:w="1706" w:type="dxa"/>
            <w:tcBorders>
              <w:left w:val="single" w:color="auto" w:sz="4" w:space="0"/>
              <w:right w:val="single" w:color="auto" w:sz="4" w:space="0"/>
            </w:tcBorders>
            <w:vAlign w:val="center"/>
          </w:tcPr>
          <w:p>
            <w:pPr>
              <w:spacing w:line="280" w:lineRule="exact"/>
              <w:jc w:val="center"/>
              <w:rPr>
                <w:szCs w:val="21"/>
              </w:rPr>
            </w:pPr>
            <w:r>
              <w:rPr>
                <w:szCs w:val="21"/>
              </w:rPr>
              <w:t>学校主管部门</w:t>
            </w:r>
          </w:p>
          <w:p>
            <w:pPr>
              <w:spacing w:line="280" w:lineRule="exact"/>
              <w:jc w:val="center"/>
              <w:rPr>
                <w:szCs w:val="21"/>
              </w:rPr>
            </w:pPr>
            <w:r>
              <w:rPr>
                <w:szCs w:val="21"/>
              </w:rPr>
              <w:t>（盖章）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jc w:val="center"/>
              <w:rPr>
                <w:szCs w:val="21"/>
              </w:rPr>
            </w:pPr>
            <w:r>
              <w:rPr>
                <w:szCs w:val="21"/>
              </w:rPr>
              <w:t>审核人</w:t>
            </w:r>
          </w:p>
          <w:p>
            <w:pPr>
              <w:spacing w:line="280" w:lineRule="exact"/>
              <w:jc w:val="center"/>
              <w:rPr>
                <w:szCs w:val="21"/>
              </w:rPr>
            </w:pPr>
            <w:r>
              <w:rPr>
                <w:szCs w:val="21"/>
              </w:rPr>
              <w:t>签名：</w:t>
            </w:r>
          </w:p>
          <w:p>
            <w:pPr>
              <w:spacing w:line="280" w:lineRule="exact"/>
              <w:jc w:val="center"/>
              <w:rPr>
                <w:szCs w:val="21"/>
              </w:rPr>
            </w:pPr>
          </w:p>
          <w:p>
            <w:pPr>
              <w:spacing w:line="280" w:lineRule="exact"/>
              <w:jc w:val="both"/>
              <w:rPr>
                <w:szCs w:val="21"/>
              </w:rPr>
            </w:pPr>
          </w:p>
        </w:tc>
      </w:tr>
    </w:tbl>
    <w:p>
      <w:pPr>
        <w:spacing w:line="360" w:lineRule="exact"/>
        <w:ind w:firstLine="240" w:firstLineChars="100"/>
        <w:jc w:val="both"/>
        <w:rPr>
          <w:sz w:val="24"/>
          <w:szCs w:val="32"/>
        </w:rPr>
      </w:pPr>
      <w:r>
        <w:rPr>
          <w:sz w:val="24"/>
          <w:szCs w:val="32"/>
        </w:rPr>
        <w:t>单位（公章）：</w:t>
      </w:r>
      <w:r>
        <w:rPr>
          <w:rFonts w:hint="eastAsia"/>
          <w:sz w:val="24"/>
          <w:szCs w:val="32"/>
          <w:lang w:val="en-US"/>
        </w:rPr>
        <w:t xml:space="preserve">                      </w:t>
      </w:r>
      <w:r>
        <w:rPr>
          <w:sz w:val="24"/>
          <w:szCs w:val="32"/>
        </w:rPr>
        <w:t xml:space="preserve"> 单位审核责任人签名：                                                           填表日期：        年    月    日</w:t>
      </w:r>
    </w:p>
    <w:p>
      <w:pPr>
        <w:spacing w:line="360" w:lineRule="exact"/>
        <w:ind w:firstLine="240" w:firstLineChars="100"/>
        <w:rPr>
          <w:szCs w:val="21"/>
        </w:rPr>
        <w:sectPr>
          <w:headerReference r:id="rId6" w:type="default"/>
          <w:footerReference r:id="rId7" w:type="default"/>
          <w:footerReference r:id="rId8" w:type="even"/>
          <w:pgSz w:w="23814" w:h="16840" w:orient="landscape"/>
          <w:pgMar w:top="709" w:right="1361" w:bottom="709" w:left="1588" w:header="851" w:footer="1418" w:gutter="0"/>
          <w:pgNumType w:fmt="numberInDash"/>
          <w:cols w:space="720" w:num="1"/>
          <w:docGrid w:linePitch="579" w:charSpace="-849"/>
        </w:sectPr>
      </w:pPr>
      <w:r>
        <w:rPr>
          <w:sz w:val="24"/>
          <w:szCs w:val="32"/>
        </w:rPr>
        <w:t>注：1、表中“其它教学工作量”是指出卷、监考、指导毕业生论文等。2、增刊、论文集、用稿通知、清样、习题集（库）等均不作为申报高级专业技术职务的参评材料</w:t>
      </w:r>
    </w:p>
    <w:p>
      <w:pPr>
        <w:tabs>
          <w:tab w:val="left" w:pos="3105"/>
          <w:tab w:val="left" w:pos="9372"/>
          <w:tab w:val="left" w:pos="12680"/>
        </w:tabs>
        <w:spacing w:before="6"/>
        <w:jc w:val="both"/>
        <w:rPr>
          <w:rFonts w:ascii="Times New Roman"/>
          <w:sz w:val="20"/>
        </w:rPr>
      </w:pPr>
    </w:p>
    <w:sectPr>
      <w:footerReference r:id="rId9" w:type="default"/>
      <w:footerReference r:id="rId10" w:type="even"/>
      <w:pgSz w:w="16840" w:h="11910" w:orient="landscape"/>
      <w:pgMar w:top="1360" w:right="1300" w:bottom="709" w:left="1580" w:header="0" w:footer="1384" w:gutter="0"/>
      <w:pgNumType w:fmt="numberInDash" w:start="1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32"/>
      </w:rPr>
      <mc:AlternateContent>
        <mc:Choice Requires="wps">
          <w:drawing>
            <wp:anchor distT="0" distB="0" distL="114300" distR="114300" simplePos="0" relativeHeight="2477537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47753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OpA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r2h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S+OpAVAgAAFQQAAA4AAAAAAAAA&#10;AQAgAAAAHwEAAGRycy9lMm9Eb2MueG1sUEsFBgAAAAAGAAYAWQEAAKY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lang w:val="en-US" w:bidi="ar-SA"/>
      </w:rPr>
      <w:drawing>
        <wp:anchor distT="0" distB="0" distL="0" distR="0" simplePos="0" relativeHeight="247749632"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477547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- 10 -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47754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YWrX8VAgAAFQQAAA4AAAAAAAAA&#10;AQAgAAAAHwEAAGRycy9lMm9Eb2MueG1sUEsFBgAAAAAGAAYAWQEAAKY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- 10 -</w:t>
                    </w:r>
                    <w:r>
                      <w:rPr>
                        <w:rFonts w:hint="eastAsia"/>
                        <w:lang w:eastAsia="zh-CN"/>
                      </w:rPr>
                      <w:fldChar w:fldCharType="end"/>
                    </w:r>
                  </w:p>
                </w:txbxContent>
              </v:textbox>
            </v:shape>
          </w:pict>
        </mc:Fallback>
      </mc:AlternateContent>
    </w:r>
    <w:r>
      <w:rPr>
        <w:lang w:val="en-US" w:bidi="ar-SA"/>
      </w:rPr>
      <w:drawing>
        <wp:anchor distT="0" distB="0" distL="0" distR="0" simplePos="0" relativeHeight="247750656"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477557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47755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FHoZJQVAgAAFQQAAA4AAAAAAAAA&#10;AQAgAAAAHwEAAGRycy9lMm9Eb2MueG1sUEsFBgAAAAAGAAYAWQEAAKY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- 11 -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477547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- 10 -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47754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pprv7xQCAAAVBAAADgAAAAAAAAAB&#10;ACAAAAAfAQAAZHJzL2Uyb0RvYy54bWxQSwUGAAAAAAYABgBZAQAApQU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- 10 -</w:t>
                    </w:r>
                    <w:r>
                      <w:rPr>
                        <w:rFonts w:hint="eastAsia"/>
                        <w:lang w:eastAsia="zh-CN"/>
                      </w:rPr>
                      <w:fldChar w:fldCharType="end"/>
                    </w:r>
                  </w:p>
                </w:txbxContent>
              </v:textbox>
            </v:shape>
          </w:pict>
        </mc:Fallback>
      </mc:AlternateContent>
    </w:r>
    <w:r>
      <w:rPr>
        <w:lang w:val="en-US" w:bidi="ar-SA"/>
      </w:rPr>
      <w:drawing>
        <wp:anchor distT="0" distB="0" distL="0" distR="0" simplePos="0" relativeHeight="247750656" behindDoc="1" locked="0" layoutInCell="1" allowOverlap="1">
          <wp:simplePos x="0" y="0"/>
          <wp:positionH relativeFrom="page">
            <wp:posOffset>4091940</wp:posOffset>
          </wp:positionH>
          <wp:positionV relativeFrom="page">
            <wp:posOffset>1711325</wp:posOffset>
          </wp:positionV>
          <wp:extent cx="7089775" cy="7089775"/>
          <wp:effectExtent l="0" t="0" r="15875" b="15875"/>
          <wp:wrapNone/>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2944"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0896"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tabs>
        <w:tab w:val="left" w:pos="8466"/>
      </w:tabs>
      <w:jc w:val="left"/>
      <w:rPr>
        <w:rFonts w:hint="eastAsia" w:eastAsia="宋体"/>
        <w:lang w:eastAsia="zh-CN"/>
      </w:rPr>
    </w:pPr>
    <w:r>
      <w:rPr>
        <w:rFonts w:hint="eastAsia"/>
        <w:lang w:eastAsia="zh-CN"/>
      </w:rPr>
      <w:tab/>
    </w: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54EAF"/>
    <w:rsid w:val="00072F84"/>
    <w:rsid w:val="000E0BEA"/>
    <w:rsid w:val="00181CC9"/>
    <w:rsid w:val="001D7D11"/>
    <w:rsid w:val="00211FE5"/>
    <w:rsid w:val="00221541"/>
    <w:rsid w:val="0023585B"/>
    <w:rsid w:val="00243829"/>
    <w:rsid w:val="003016F4"/>
    <w:rsid w:val="003B60AE"/>
    <w:rsid w:val="004A523F"/>
    <w:rsid w:val="00534393"/>
    <w:rsid w:val="005A19EA"/>
    <w:rsid w:val="00864275"/>
    <w:rsid w:val="00867891"/>
    <w:rsid w:val="00942C38"/>
    <w:rsid w:val="00CF298B"/>
    <w:rsid w:val="00D14812"/>
    <w:rsid w:val="00D46BED"/>
    <w:rsid w:val="00DD3F2F"/>
    <w:rsid w:val="00E767FB"/>
    <w:rsid w:val="00F91300"/>
    <w:rsid w:val="00FE5BFE"/>
    <w:rsid w:val="012128D6"/>
    <w:rsid w:val="01587D74"/>
    <w:rsid w:val="01716D9E"/>
    <w:rsid w:val="03F765F4"/>
    <w:rsid w:val="048B365E"/>
    <w:rsid w:val="04F70535"/>
    <w:rsid w:val="07A812A3"/>
    <w:rsid w:val="08977D5C"/>
    <w:rsid w:val="08A03D4D"/>
    <w:rsid w:val="08BA44F4"/>
    <w:rsid w:val="09956A6C"/>
    <w:rsid w:val="09CF0842"/>
    <w:rsid w:val="0AB90536"/>
    <w:rsid w:val="0B0244CA"/>
    <w:rsid w:val="0B3D2582"/>
    <w:rsid w:val="0C294360"/>
    <w:rsid w:val="0CF97742"/>
    <w:rsid w:val="0DB348C8"/>
    <w:rsid w:val="0E302660"/>
    <w:rsid w:val="0EE35566"/>
    <w:rsid w:val="0F9D0B0F"/>
    <w:rsid w:val="0F9E042C"/>
    <w:rsid w:val="0FB842DC"/>
    <w:rsid w:val="1200785B"/>
    <w:rsid w:val="123A3277"/>
    <w:rsid w:val="12BF3266"/>
    <w:rsid w:val="131B719E"/>
    <w:rsid w:val="14850A10"/>
    <w:rsid w:val="156F6054"/>
    <w:rsid w:val="15CB6BCB"/>
    <w:rsid w:val="174C7B1B"/>
    <w:rsid w:val="194A3EB4"/>
    <w:rsid w:val="1A575989"/>
    <w:rsid w:val="1B06743B"/>
    <w:rsid w:val="1B5771B3"/>
    <w:rsid w:val="1BD103A8"/>
    <w:rsid w:val="1BE87DBB"/>
    <w:rsid w:val="1D106D28"/>
    <w:rsid w:val="1D5C0EE0"/>
    <w:rsid w:val="1DFC3852"/>
    <w:rsid w:val="1EE1607B"/>
    <w:rsid w:val="1F0355F7"/>
    <w:rsid w:val="1F5622DB"/>
    <w:rsid w:val="2225198A"/>
    <w:rsid w:val="226C34C6"/>
    <w:rsid w:val="227E7F42"/>
    <w:rsid w:val="22B35485"/>
    <w:rsid w:val="240C092B"/>
    <w:rsid w:val="247C13B8"/>
    <w:rsid w:val="26021F94"/>
    <w:rsid w:val="2665150E"/>
    <w:rsid w:val="26BA04BC"/>
    <w:rsid w:val="27EB1F3E"/>
    <w:rsid w:val="285953FE"/>
    <w:rsid w:val="28A6365F"/>
    <w:rsid w:val="28B01C5B"/>
    <w:rsid w:val="28B37611"/>
    <w:rsid w:val="29A51D82"/>
    <w:rsid w:val="2A487228"/>
    <w:rsid w:val="2B173C9E"/>
    <w:rsid w:val="2D10107A"/>
    <w:rsid w:val="2DAA3786"/>
    <w:rsid w:val="2DC15F6C"/>
    <w:rsid w:val="2EDF6A8B"/>
    <w:rsid w:val="2F56615D"/>
    <w:rsid w:val="303378FF"/>
    <w:rsid w:val="31BF26D5"/>
    <w:rsid w:val="32494757"/>
    <w:rsid w:val="339423BD"/>
    <w:rsid w:val="33BA1456"/>
    <w:rsid w:val="35F405E4"/>
    <w:rsid w:val="3695157E"/>
    <w:rsid w:val="38547099"/>
    <w:rsid w:val="391D5FDE"/>
    <w:rsid w:val="3A6A3491"/>
    <w:rsid w:val="3B584426"/>
    <w:rsid w:val="3BDD3C26"/>
    <w:rsid w:val="3BF96166"/>
    <w:rsid w:val="3CB83DDC"/>
    <w:rsid w:val="3D115382"/>
    <w:rsid w:val="3DF107A7"/>
    <w:rsid w:val="3F01154A"/>
    <w:rsid w:val="3F9709F0"/>
    <w:rsid w:val="3F99509E"/>
    <w:rsid w:val="40502E43"/>
    <w:rsid w:val="405960CC"/>
    <w:rsid w:val="4083189D"/>
    <w:rsid w:val="4097620B"/>
    <w:rsid w:val="40E2220A"/>
    <w:rsid w:val="420665F8"/>
    <w:rsid w:val="4207782B"/>
    <w:rsid w:val="448A16A8"/>
    <w:rsid w:val="462730F9"/>
    <w:rsid w:val="46BC7B50"/>
    <w:rsid w:val="487F6FCE"/>
    <w:rsid w:val="49296B2D"/>
    <w:rsid w:val="497561B3"/>
    <w:rsid w:val="4A1F5516"/>
    <w:rsid w:val="4A9C55AC"/>
    <w:rsid w:val="4AA82F78"/>
    <w:rsid w:val="4B9E5268"/>
    <w:rsid w:val="4F577514"/>
    <w:rsid w:val="50C22B99"/>
    <w:rsid w:val="54952395"/>
    <w:rsid w:val="55A8759D"/>
    <w:rsid w:val="567B409C"/>
    <w:rsid w:val="57214C9F"/>
    <w:rsid w:val="597915A5"/>
    <w:rsid w:val="5AA0329F"/>
    <w:rsid w:val="5AFA6359"/>
    <w:rsid w:val="5BBC621C"/>
    <w:rsid w:val="5BEC120D"/>
    <w:rsid w:val="5F821A61"/>
    <w:rsid w:val="5FCD2899"/>
    <w:rsid w:val="60EA39B1"/>
    <w:rsid w:val="636F2633"/>
    <w:rsid w:val="63DF2A01"/>
    <w:rsid w:val="6504130B"/>
    <w:rsid w:val="65D54971"/>
    <w:rsid w:val="66011645"/>
    <w:rsid w:val="66DD5225"/>
    <w:rsid w:val="674A6063"/>
    <w:rsid w:val="6790208C"/>
    <w:rsid w:val="67D20AA5"/>
    <w:rsid w:val="67E44977"/>
    <w:rsid w:val="6841584F"/>
    <w:rsid w:val="6BB62772"/>
    <w:rsid w:val="6BF65652"/>
    <w:rsid w:val="6D9C3427"/>
    <w:rsid w:val="6DF97D72"/>
    <w:rsid w:val="6F6B42B3"/>
    <w:rsid w:val="6F8358B6"/>
    <w:rsid w:val="6FE0692E"/>
    <w:rsid w:val="7025702F"/>
    <w:rsid w:val="70AF5BB4"/>
    <w:rsid w:val="712277F0"/>
    <w:rsid w:val="712E59B1"/>
    <w:rsid w:val="71886181"/>
    <w:rsid w:val="71AF751E"/>
    <w:rsid w:val="71CF2F85"/>
    <w:rsid w:val="720729CF"/>
    <w:rsid w:val="72884934"/>
    <w:rsid w:val="732666E3"/>
    <w:rsid w:val="734E126C"/>
    <w:rsid w:val="745B76D6"/>
    <w:rsid w:val="759458C2"/>
    <w:rsid w:val="78292620"/>
    <w:rsid w:val="78373C98"/>
    <w:rsid w:val="78802207"/>
    <w:rsid w:val="79D442CD"/>
    <w:rsid w:val="79E03B2C"/>
    <w:rsid w:val="7BDB4F65"/>
    <w:rsid w:val="7BFB5CF5"/>
    <w:rsid w:val="7E2A65CF"/>
    <w:rsid w:val="7E310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Balloon Text"/>
    <w:basedOn w:val="1"/>
    <w:link w:val="14"/>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391" w:firstLine="640"/>
    </w:pPr>
  </w:style>
  <w:style w:type="paragraph" w:customStyle="1" w:styleId="13">
    <w:name w:val="Table Paragraph"/>
    <w:basedOn w:val="1"/>
    <w:qFormat/>
    <w:uiPriority w:val="1"/>
  </w:style>
  <w:style w:type="character" w:customStyle="1" w:styleId="14">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15">
    <w:name w:val="页眉 Char"/>
    <w:basedOn w:val="9"/>
    <w:link w:val="7"/>
    <w:qFormat/>
    <w:uiPriority w:val="99"/>
    <w:rPr>
      <w:rFonts w:ascii="宋体" w:hAnsi="宋体" w:eastAsia="宋体" w:cs="宋体"/>
      <w:sz w:val="18"/>
      <w:szCs w:val="18"/>
      <w:lang w:val="zh-CN" w:eastAsia="zh-CN" w:bidi="zh-CN"/>
    </w:rPr>
  </w:style>
  <w:style w:type="character" w:customStyle="1" w:styleId="16">
    <w:name w:val="页脚 Char"/>
    <w:basedOn w:val="9"/>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C0AC7D-A67F-41C5-8C3D-3CADD41341D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1409</Words>
  <Characters>8036</Characters>
  <Lines>66</Lines>
  <Paragraphs>18</Paragraphs>
  <TotalTime>0</TotalTime>
  <ScaleCrop>false</ScaleCrop>
  <LinksUpToDate>false</LinksUpToDate>
  <CharactersWithSpaces>9427</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2019-11-20T01:21:00Z</dcterms:created>
  <dc:creator>微软用户</dc:creator>
  <cp:lastModifiedBy>Administrator</cp:lastModifiedBy>
  <cp:lastPrinted>2019-12-02T11:55:00Z</cp:lastPrinted>
  <dcterms:modified xsi:type="dcterms:W3CDTF">2019-12-06T08:57:42Z</dcterms:modified>
  <dc:title>党风廉政建设责任分解表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2052-11.1.0.9209</vt:lpwstr>
  </property>
</Properties>
</file>