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988"/>
        </w:tabs>
        <w:spacing w:before="42" w:line="575" w:lineRule="exact"/>
        <w:ind w:left="848"/>
        <w:jc w:val="left"/>
      </w:pPr>
      <w:bookmarkStart w:id="0" w:name="_GoBack"/>
      <w:bookmarkEnd w:id="0"/>
      <w:r>
        <w:rPr>
          <w:rFonts w:ascii="Times New Roman" w:eastAsia="Times New Roman"/>
          <w:sz w:val="32"/>
        </w:rPr>
        <w:tab/>
      </w:r>
      <w:r>
        <w:rPr>
          <w:rFonts w:ascii="方正粗黑宋简体" w:hAnsi="方正粗黑宋简体" w:eastAsia="方正粗黑宋简体"/>
        </w:rPr>
        <w:t>湖南省高等学校教师系列高级专业技术职务申报人员情况公示表</w:t>
      </w:r>
    </w:p>
    <w:p>
      <w:pPr>
        <w:pStyle w:val="4"/>
        <w:tabs>
          <w:tab w:val="left" w:pos="8478"/>
          <w:tab w:val="left" w:pos="8720"/>
          <w:tab w:val="left" w:pos="11039"/>
          <w:tab w:val="left" w:pos="11279"/>
          <w:tab w:val="left" w:pos="14060"/>
          <w:tab w:val="left" w:pos="14960"/>
          <w:tab w:val="left" w:pos="18545"/>
        </w:tabs>
        <w:spacing w:line="370" w:lineRule="exact"/>
        <w:ind w:left="5680"/>
        <w:rPr>
          <w:rFonts w:ascii="Times New Roman" w:eastAsia="Times New Roman"/>
        </w:rPr>
      </w:pPr>
      <w:r>
        <w:t>单位</w:t>
      </w:r>
      <w:r>
        <w:rPr>
          <w:u w:val="single"/>
        </w:rPr>
        <w:t xml:space="preserve"> 湖南高速铁路职业技术学院</w:t>
      </w:r>
      <w:r>
        <w:rPr>
          <w:u w:val="single"/>
        </w:rPr>
        <w:tab/>
      </w:r>
      <w:r>
        <w:tab/>
      </w:r>
      <w:r>
        <w:t>姓名</w:t>
      </w:r>
      <w:r>
        <w:rPr>
          <w:u w:val="single"/>
        </w:rPr>
        <w:t xml:space="preserve"> 赵小红</w:t>
      </w:r>
      <w:r>
        <w:tab/>
      </w:r>
      <w:r>
        <w:t>申报职务</w:t>
      </w:r>
      <w:r>
        <w:rPr>
          <w:u w:val="single"/>
        </w:rPr>
        <w:t xml:space="preserve"> 副教授</w:t>
      </w:r>
      <w:r>
        <w:rPr>
          <w:rFonts w:hint="eastAsia"/>
          <w:u w:val="single"/>
        </w:rPr>
        <w:t xml:space="preserve"> </w:t>
      </w:r>
      <w:r>
        <w:tab/>
      </w:r>
      <w:r>
        <w:rPr>
          <w:w w:val="95"/>
        </w:rPr>
        <w:t>学科（专业）</w:t>
      </w:r>
      <w:r>
        <w:rPr>
          <w:rFonts w:ascii="Times New Roman" w:eastAsia="Times New Roman"/>
          <w:w w:val="95"/>
          <w:u w:val="single"/>
        </w:rPr>
        <w:t xml:space="preserve"> 铁路</w:t>
      </w:r>
      <w:r>
        <w:rPr>
          <w:rFonts w:ascii="Times New Roman" w:eastAsia="Times New Roman"/>
          <w:u w:val="single"/>
        </w:rPr>
        <w:tab/>
      </w:r>
    </w:p>
    <w:tbl>
      <w:tblPr>
        <w:tblStyle w:val="10"/>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2"/>
        <w:gridCol w:w="1276"/>
        <w:gridCol w:w="94"/>
        <w:gridCol w:w="1356"/>
        <w:gridCol w:w="160"/>
        <w:gridCol w:w="1104"/>
        <w:gridCol w:w="94"/>
        <w:gridCol w:w="1357"/>
        <w:gridCol w:w="723"/>
        <w:gridCol w:w="1196"/>
        <w:gridCol w:w="827"/>
        <w:gridCol w:w="1046"/>
        <w:gridCol w:w="1146"/>
        <w:gridCol w:w="1757"/>
        <w:gridCol w:w="711"/>
        <w:gridCol w:w="1205"/>
        <w:gridCol w:w="1345"/>
        <w:gridCol w:w="560"/>
        <w:gridCol w:w="1100"/>
        <w:gridCol w:w="638"/>
        <w:gridCol w:w="449"/>
        <w:gridCol w:w="880"/>
        <w:gridCol w:w="755"/>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trPr>
        <w:tc>
          <w:tcPr>
            <w:tcW w:w="6783" w:type="dxa"/>
            <w:gridSpan w:val="8"/>
          </w:tcPr>
          <w:p>
            <w:pPr>
              <w:pStyle w:val="12"/>
              <w:spacing w:before="55"/>
              <w:ind w:left="2422" w:right="2416"/>
              <w:jc w:val="center"/>
              <w:rPr>
                <w:b/>
                <w:sz w:val="21"/>
              </w:rPr>
            </w:pPr>
            <w:r>
              <w:rPr>
                <w:b/>
                <w:sz w:val="21"/>
              </w:rPr>
              <w:t>基本情况</w:t>
            </w:r>
          </w:p>
        </w:tc>
        <w:tc>
          <w:tcPr>
            <w:tcW w:w="15577" w:type="dxa"/>
            <w:gridSpan w:val="16"/>
          </w:tcPr>
          <w:p>
            <w:pPr>
              <w:pStyle w:val="12"/>
              <w:spacing w:before="55"/>
              <w:ind w:left="6807" w:right="6821"/>
              <w:jc w:val="center"/>
              <w:rPr>
                <w:b/>
                <w:sz w:val="21"/>
              </w:rPr>
            </w:pPr>
            <w:r>
              <w:rPr>
                <w:b/>
                <w:sz w:val="21"/>
              </w:rPr>
              <w:t>任现职以来主要业绩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1342" w:type="dxa"/>
          </w:tcPr>
          <w:p>
            <w:pPr>
              <w:pStyle w:val="12"/>
              <w:tabs>
                <w:tab w:val="left" w:pos="911"/>
              </w:tabs>
              <w:spacing w:before="169"/>
              <w:ind w:left="2"/>
              <w:jc w:val="center"/>
              <w:rPr>
                <w:sz w:val="21"/>
              </w:rPr>
            </w:pPr>
            <w:r>
              <w:rPr>
                <w:sz w:val="21"/>
              </w:rPr>
              <w:t>姓</w:t>
            </w:r>
            <w:r>
              <w:rPr>
                <w:sz w:val="21"/>
              </w:rPr>
              <w:tab/>
            </w:r>
            <w:r>
              <w:rPr>
                <w:sz w:val="21"/>
              </w:rPr>
              <w:t>名</w:t>
            </w:r>
          </w:p>
        </w:tc>
        <w:tc>
          <w:tcPr>
            <w:tcW w:w="1276" w:type="dxa"/>
          </w:tcPr>
          <w:p>
            <w:pPr>
              <w:pStyle w:val="12"/>
              <w:rPr>
                <w:rFonts w:ascii="Times New Roman"/>
              </w:rPr>
            </w:pPr>
            <w:r>
              <w:rPr>
                <w:rFonts w:ascii="Times New Roman"/>
              </w:rPr>
              <w:t>赵小红</w:t>
            </w:r>
          </w:p>
        </w:tc>
        <w:tc>
          <w:tcPr>
            <w:tcW w:w="2714" w:type="dxa"/>
            <w:gridSpan w:val="4"/>
          </w:tcPr>
          <w:p>
            <w:pPr>
              <w:pStyle w:val="12"/>
              <w:spacing w:before="161"/>
              <w:ind w:left="912" w:right="911"/>
              <w:jc w:val="center"/>
              <w:rPr>
                <w:sz w:val="21"/>
              </w:rPr>
            </w:pPr>
            <w:r>
              <w:rPr>
                <w:sz w:val="21"/>
              </w:rPr>
              <w:t>出生年月</w:t>
            </w:r>
          </w:p>
        </w:tc>
        <w:tc>
          <w:tcPr>
            <w:tcW w:w="1451" w:type="dxa"/>
            <w:gridSpan w:val="2"/>
          </w:tcPr>
          <w:p>
            <w:pPr>
              <w:pStyle w:val="12"/>
              <w:rPr>
                <w:rFonts w:ascii="Times New Roman"/>
              </w:rPr>
            </w:pPr>
            <w:r>
              <w:rPr>
                <w:rFonts w:hint="eastAsia" w:ascii="Times New Roman"/>
              </w:rPr>
              <w:t>1983年11月</w:t>
            </w:r>
          </w:p>
        </w:tc>
        <w:tc>
          <w:tcPr>
            <w:tcW w:w="723"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157" w:line="247" w:lineRule="auto"/>
              <w:ind w:left="143" w:right="147"/>
              <w:rPr>
                <w:b/>
                <w:sz w:val="21"/>
              </w:rPr>
            </w:pPr>
            <w:r>
              <w:rPr>
                <w:b/>
                <w:sz w:val="21"/>
              </w:rPr>
              <w:t>教学工作</w:t>
            </w:r>
          </w:p>
        </w:tc>
        <w:tc>
          <w:tcPr>
            <w:tcW w:w="5972" w:type="dxa"/>
            <w:gridSpan w:val="5"/>
          </w:tcPr>
          <w:p>
            <w:pPr>
              <w:pStyle w:val="12"/>
              <w:spacing w:before="169"/>
              <w:ind w:left="752" w:right="760"/>
              <w:jc w:val="center"/>
              <w:rPr>
                <w:sz w:val="21"/>
              </w:rPr>
            </w:pPr>
            <w:r>
              <w:rPr>
                <w:sz w:val="21"/>
              </w:rPr>
              <w:t>教学工作量（其它教学工作量按本校方式计算）</w:t>
            </w:r>
          </w:p>
        </w:tc>
        <w:tc>
          <w:tcPr>
            <w:tcW w:w="3821" w:type="dxa"/>
            <w:gridSpan w:val="4"/>
          </w:tcPr>
          <w:p>
            <w:pPr>
              <w:pStyle w:val="12"/>
              <w:spacing w:before="169"/>
              <w:ind w:left="1267"/>
              <w:rPr>
                <w:sz w:val="21"/>
              </w:rPr>
            </w:pPr>
            <w:r>
              <w:rPr>
                <w:sz w:val="21"/>
              </w:rPr>
              <w:t>主要教学业绩</w:t>
            </w:r>
          </w:p>
        </w:tc>
        <w:tc>
          <w:tcPr>
            <w:tcW w:w="3822" w:type="dxa"/>
            <w:gridSpan w:val="5"/>
          </w:tcPr>
          <w:p>
            <w:pPr>
              <w:pStyle w:val="12"/>
              <w:spacing w:before="169"/>
              <w:ind w:left="1048"/>
              <w:rPr>
                <w:sz w:val="21"/>
              </w:rPr>
            </w:pPr>
            <w:r>
              <w:rPr>
                <w:sz w:val="21"/>
              </w:rPr>
              <w:t>指导青年教师情况</w:t>
            </w:r>
          </w:p>
        </w:tc>
        <w:tc>
          <w:tcPr>
            <w:tcW w:w="1239" w:type="dxa"/>
            <w:vMerge w:val="restart"/>
          </w:tcPr>
          <w:p>
            <w:pPr>
              <w:pStyle w:val="12"/>
              <w:spacing w:before="3" w:line="249" w:lineRule="auto"/>
              <w:ind w:left="173" w:right="215"/>
              <w:rPr>
                <w:sz w:val="21"/>
              </w:rPr>
            </w:pPr>
            <w:r>
              <w:rPr>
                <w:spacing w:val="-4"/>
                <w:sz w:val="21"/>
              </w:rPr>
              <w:t>教务部门</w:t>
            </w:r>
            <w:r>
              <w:rPr>
                <w:spacing w:val="-4"/>
                <w:w w:val="95"/>
                <w:sz w:val="21"/>
              </w:rPr>
              <w:t>审核意见</w:t>
            </w:r>
          </w:p>
          <w:p>
            <w:pPr>
              <w:pStyle w:val="12"/>
              <w:spacing w:before="2"/>
              <w:ind w:left="173"/>
              <w:rPr>
                <w:sz w:val="21"/>
              </w:rPr>
            </w:pPr>
            <w:r>
              <w:rPr>
                <w:w w:val="95"/>
                <w:sz w:val="21"/>
              </w:rPr>
              <w:t>（盖章）</w:t>
            </w: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4"/>
              <w:rPr>
                <w:rFonts w:ascii="Times New Roman"/>
                <w:sz w:val="24"/>
              </w:rPr>
            </w:pPr>
          </w:p>
          <w:p>
            <w:pPr>
              <w:pStyle w:val="12"/>
              <w:spacing w:line="249" w:lineRule="auto"/>
              <w:ind w:left="82" w:right="119"/>
              <w:jc w:val="both"/>
              <w:rPr>
                <w:sz w:val="21"/>
              </w:rPr>
            </w:pPr>
            <w:r>
              <w:rPr>
                <w:spacing w:val="-22"/>
                <w:sz w:val="21"/>
              </w:rPr>
              <w:t>教 务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342" w:type="dxa"/>
            <w:vMerge w:val="restart"/>
          </w:tcPr>
          <w:p>
            <w:pPr>
              <w:pStyle w:val="12"/>
              <w:tabs>
                <w:tab w:val="left" w:pos="1017"/>
              </w:tabs>
              <w:spacing w:before="158"/>
              <w:ind w:left="107"/>
              <w:rPr>
                <w:sz w:val="21"/>
              </w:rPr>
            </w:pPr>
            <w:r>
              <w:rPr>
                <w:sz w:val="21"/>
              </w:rPr>
              <w:t>性</w:t>
            </w:r>
            <w:r>
              <w:rPr>
                <w:sz w:val="21"/>
              </w:rPr>
              <w:tab/>
            </w:r>
            <w:r>
              <w:rPr>
                <w:sz w:val="21"/>
              </w:rPr>
              <w:t>别</w:t>
            </w:r>
          </w:p>
        </w:tc>
        <w:tc>
          <w:tcPr>
            <w:tcW w:w="1276" w:type="dxa"/>
            <w:vMerge w:val="restart"/>
          </w:tcPr>
          <w:p>
            <w:pPr>
              <w:pStyle w:val="12"/>
              <w:rPr>
                <w:rFonts w:ascii="Times New Roman"/>
              </w:rPr>
            </w:pPr>
            <w:r>
              <w:rPr>
                <w:rFonts w:ascii="Times New Roman"/>
              </w:rPr>
              <w:t>男</w:t>
            </w:r>
          </w:p>
        </w:tc>
        <w:tc>
          <w:tcPr>
            <w:tcW w:w="2714" w:type="dxa"/>
            <w:gridSpan w:val="4"/>
            <w:vMerge w:val="restart"/>
          </w:tcPr>
          <w:p>
            <w:pPr>
              <w:pStyle w:val="12"/>
              <w:spacing w:before="150"/>
              <w:ind w:left="720"/>
              <w:rPr>
                <w:sz w:val="21"/>
              </w:rPr>
            </w:pPr>
            <w:r>
              <w:rPr>
                <w:sz w:val="21"/>
              </w:rPr>
              <w:t>参加工作时间</w:t>
            </w:r>
          </w:p>
        </w:tc>
        <w:tc>
          <w:tcPr>
            <w:tcW w:w="1451" w:type="dxa"/>
            <w:gridSpan w:val="2"/>
            <w:vMerge w:val="restart"/>
          </w:tcPr>
          <w:p>
            <w:pPr>
              <w:pStyle w:val="12"/>
              <w:rPr>
                <w:rFonts w:ascii="Times New Roman"/>
              </w:rPr>
            </w:pPr>
            <w:r>
              <w:rPr>
                <w:rFonts w:hint="eastAsia" w:ascii="Times New Roman"/>
              </w:rPr>
              <w:t>2007年7月</w:t>
            </w:r>
          </w:p>
        </w:tc>
        <w:tc>
          <w:tcPr>
            <w:tcW w:w="723" w:type="dxa"/>
            <w:vMerge w:val="continue"/>
            <w:tcBorders>
              <w:top w:val="nil"/>
            </w:tcBorders>
          </w:tcPr>
          <w:p>
            <w:pPr>
              <w:rPr>
                <w:sz w:val="2"/>
                <w:szCs w:val="2"/>
              </w:rPr>
            </w:pPr>
          </w:p>
        </w:tc>
        <w:tc>
          <w:tcPr>
            <w:tcW w:w="1196"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8"/>
              <w:rPr>
                <w:rFonts w:ascii="Times New Roman"/>
                <w:sz w:val="18"/>
              </w:rPr>
            </w:pPr>
          </w:p>
          <w:p>
            <w:pPr>
              <w:pStyle w:val="12"/>
              <w:spacing w:before="1" w:line="247" w:lineRule="auto"/>
              <w:ind w:left="63" w:right="71"/>
              <w:rPr>
                <w:sz w:val="21"/>
              </w:rPr>
            </w:pPr>
            <w:r>
              <w:rPr>
                <w:sz w:val="21"/>
              </w:rPr>
              <w:t>按年度填写教学工作量</w:t>
            </w:r>
          </w:p>
        </w:tc>
        <w:tc>
          <w:tcPr>
            <w:tcW w:w="827" w:type="dxa"/>
            <w:vMerge w:val="restart"/>
          </w:tcPr>
          <w:p>
            <w:pPr>
              <w:pStyle w:val="12"/>
              <w:spacing w:before="5"/>
              <w:rPr>
                <w:rFonts w:ascii="Times New Roman"/>
                <w:sz w:val="26"/>
              </w:rPr>
            </w:pPr>
          </w:p>
          <w:p>
            <w:pPr>
              <w:pStyle w:val="12"/>
              <w:ind w:left="177"/>
              <w:rPr>
                <w:sz w:val="21"/>
              </w:rPr>
            </w:pPr>
            <w:r>
              <w:rPr>
                <w:sz w:val="21"/>
              </w:rPr>
              <w:t>年度</w:t>
            </w:r>
          </w:p>
        </w:tc>
        <w:tc>
          <w:tcPr>
            <w:tcW w:w="2192" w:type="dxa"/>
            <w:gridSpan w:val="2"/>
          </w:tcPr>
          <w:p>
            <w:pPr>
              <w:pStyle w:val="12"/>
              <w:spacing w:before="14" w:line="267" w:lineRule="exact"/>
              <w:ind w:left="248"/>
              <w:rPr>
                <w:sz w:val="21"/>
              </w:rPr>
            </w:pPr>
            <w:r>
              <w:rPr>
                <w:sz w:val="21"/>
              </w:rPr>
              <w:t>课堂教学（学时）</w:t>
            </w:r>
          </w:p>
        </w:tc>
        <w:tc>
          <w:tcPr>
            <w:tcW w:w="1757" w:type="dxa"/>
            <w:vMerge w:val="restart"/>
          </w:tcPr>
          <w:p>
            <w:pPr>
              <w:pStyle w:val="12"/>
              <w:spacing w:before="5"/>
              <w:rPr>
                <w:rFonts w:ascii="Times New Roman"/>
                <w:sz w:val="26"/>
              </w:rPr>
            </w:pPr>
          </w:p>
          <w:p>
            <w:pPr>
              <w:pStyle w:val="12"/>
              <w:ind w:left="127"/>
              <w:rPr>
                <w:sz w:val="21"/>
              </w:rPr>
            </w:pPr>
            <w:r>
              <w:rPr>
                <w:sz w:val="21"/>
              </w:rPr>
              <w:t>其它教学工作量</w:t>
            </w:r>
          </w:p>
        </w:tc>
        <w:tc>
          <w:tcPr>
            <w:tcW w:w="3821" w:type="dxa"/>
            <w:gridSpan w:val="4"/>
            <w:vMerge w:val="restart"/>
          </w:tcPr>
          <w:p>
            <w:pPr>
              <w:pStyle w:val="12"/>
              <w:rPr>
                <w:rFonts w:ascii="Times New Roman"/>
              </w:rPr>
            </w:pPr>
            <w:r>
              <w:rPr>
                <w:rFonts w:hint="eastAsia" w:ascii="Times New Roman"/>
              </w:rPr>
              <w:t>1、参与教学科研项目建设</w:t>
            </w:r>
          </w:p>
          <w:p>
            <w:pPr>
              <w:pStyle w:val="12"/>
              <w:rPr>
                <w:rFonts w:ascii="Times New Roman"/>
              </w:rPr>
            </w:pPr>
            <w:r>
              <w:rPr>
                <w:rFonts w:hint="eastAsia" w:ascii="Times New Roman"/>
              </w:rPr>
              <w:t>（1）2012年7月-2015年7月，参与湖南省“十二五”重点项目铁道交通运营管理特色专业申报及建设，省级，已验收，二级学院排名第四；</w:t>
            </w:r>
          </w:p>
          <w:p>
            <w:pPr>
              <w:pStyle w:val="12"/>
              <w:rPr>
                <w:rFonts w:ascii="Times New Roman"/>
              </w:rPr>
            </w:pPr>
            <w:r>
              <w:rPr>
                <w:rFonts w:hint="eastAsia" w:ascii="Times New Roman"/>
              </w:rPr>
              <w:t>（2）2012年4月-2015年2月，参与衡阳市中等职业学校特色专业项目，市厅级，已验收，二级学院排名第六；</w:t>
            </w:r>
          </w:p>
          <w:p>
            <w:pPr>
              <w:pStyle w:val="12"/>
              <w:rPr>
                <w:rFonts w:ascii="Times New Roman"/>
              </w:rPr>
            </w:pPr>
            <w:r>
              <w:rPr>
                <w:rFonts w:hint="eastAsia" w:ascii="Times New Roman"/>
              </w:rPr>
              <w:t>（3）2013年1月-2015年12月，参与湖南省示范校子项目铁道交通运营管理专业群申报及建设，市厅级，已验收，二级学院参与人排名第四；</w:t>
            </w:r>
          </w:p>
          <w:p>
            <w:pPr>
              <w:pStyle w:val="12"/>
              <w:rPr>
                <w:rFonts w:ascii="Times New Roman"/>
              </w:rPr>
            </w:pPr>
            <w:r>
              <w:rPr>
                <w:rFonts w:hint="eastAsia" w:ascii="Times New Roman"/>
              </w:rPr>
              <w:t>（4）2013年1月-2015年12月，参与湖南省示范校子项目轨道运输学院申报及建设，市厅级，已验收，二级学院参与人排名第五；</w:t>
            </w:r>
          </w:p>
          <w:p>
            <w:pPr>
              <w:pStyle w:val="12"/>
              <w:rPr>
                <w:rFonts w:ascii="Times New Roman"/>
              </w:rPr>
            </w:pPr>
            <w:r>
              <w:rPr>
                <w:rFonts w:hint="eastAsia" w:ascii="Times New Roman"/>
              </w:rPr>
              <w:t>（5）2018年6月-至今，参与湖南省双一流特色专业群申报及建设，省级，在建，二级学院参与人排名第六；</w:t>
            </w:r>
          </w:p>
          <w:p>
            <w:pPr>
              <w:pStyle w:val="12"/>
              <w:rPr>
                <w:rFonts w:ascii="Times New Roman"/>
              </w:rPr>
            </w:pPr>
            <w:r>
              <w:rPr>
                <w:rFonts w:hint="eastAsia" w:ascii="Times New Roman"/>
              </w:rPr>
              <w:t>（6）2013年-2015参与城市轨道交通运营管理专业及高速铁路客运乘务专业申报，上述专业均成功申报并于2014年、2015年招生；</w:t>
            </w:r>
          </w:p>
          <w:p>
            <w:pPr>
              <w:pStyle w:val="12"/>
              <w:rPr>
                <w:rFonts w:hint="eastAsia" w:ascii="Times New Roman"/>
              </w:rPr>
            </w:pPr>
            <w:r>
              <w:rPr>
                <w:rFonts w:hint="eastAsia" w:ascii="Times New Roman"/>
              </w:rPr>
              <w:t>（7）2013年-2018年负责城市轨道交通运营管理专业、高速铁路客运乘务专业人才培养方案制定。</w:t>
            </w:r>
          </w:p>
          <w:p>
            <w:pPr>
              <w:pStyle w:val="12"/>
              <w:rPr>
                <w:rFonts w:hint="eastAsia" w:ascii="Times New Roman"/>
              </w:rPr>
            </w:pPr>
            <w:r>
              <w:rPr>
                <w:rFonts w:hint="eastAsia" w:ascii="Times New Roman"/>
              </w:rPr>
              <w:t>（8）2013年-2019年负责、参与高速铁路客运乘务专业、城市轨道交通运营管理专业相关课程及实习实训课程建设。</w:t>
            </w:r>
          </w:p>
          <w:p>
            <w:pPr>
              <w:pStyle w:val="12"/>
              <w:rPr>
                <w:rFonts w:hint="eastAsia" w:ascii="Times New Roman"/>
              </w:rPr>
            </w:pPr>
            <w:r>
              <w:rPr>
                <w:rFonts w:hint="eastAsia" w:ascii="Times New Roman"/>
              </w:rPr>
              <w:t>（9）2016年-2019年负责高速铁路客运乘务专业质量诊断报告。</w:t>
            </w:r>
          </w:p>
          <w:p>
            <w:pPr>
              <w:pStyle w:val="12"/>
              <w:rPr>
                <w:rFonts w:ascii="Times New Roman"/>
              </w:rPr>
            </w:pPr>
            <w:r>
              <w:rPr>
                <w:rFonts w:hint="eastAsia" w:ascii="Times New Roman"/>
              </w:rPr>
              <w:t>（10）2016年-2019年负责《铁路运输安全管理》课程建设规划</w:t>
            </w:r>
          </w:p>
          <w:p>
            <w:pPr>
              <w:pStyle w:val="12"/>
              <w:rPr>
                <w:rFonts w:ascii="Times New Roman"/>
              </w:rPr>
            </w:pPr>
            <w:r>
              <w:rPr>
                <w:rFonts w:hint="eastAsia" w:ascii="Times New Roman"/>
              </w:rPr>
              <w:t>2、指导学生竞赛</w:t>
            </w:r>
          </w:p>
          <w:p>
            <w:pPr>
              <w:pStyle w:val="12"/>
              <w:rPr>
                <w:rFonts w:ascii="Times New Roman"/>
              </w:rPr>
            </w:pPr>
            <w:r>
              <w:rPr>
                <w:rFonts w:hint="eastAsia" w:ascii="Times New Roman"/>
              </w:rPr>
              <w:t>指导学生参加2016年、2018年、2019年客运职业技能竞赛，共荣获3个一等奖。</w:t>
            </w:r>
          </w:p>
          <w:p>
            <w:pPr>
              <w:pStyle w:val="12"/>
              <w:rPr>
                <w:rFonts w:ascii="Times New Roman"/>
              </w:rPr>
            </w:pPr>
            <w:r>
              <w:rPr>
                <w:rFonts w:hint="eastAsia" w:ascii="Times New Roman"/>
              </w:rPr>
              <w:t>3、教学教学</w:t>
            </w:r>
          </w:p>
          <w:p>
            <w:r>
              <w:rPr>
                <w:rFonts w:hint="eastAsia" w:ascii="Times New Roman"/>
              </w:rPr>
              <w:t>负责高速铁路客运乘务专业申报；负责高速铁路客运乘务专业人才培养方案制定及后期修改；负责高速铁路客运乘务专业质量诊断；参与城轨票务实训室、主要参与高乘VR实训室建设；负责2019年高乘专业技能抽查题库编制；负责《客运应急处置》及《消防实训》课程建设。</w:t>
            </w:r>
          </w:p>
          <w:p>
            <w:pPr>
              <w:pStyle w:val="12"/>
              <w:rPr>
                <w:rFonts w:ascii="Times New Roman"/>
              </w:rPr>
            </w:pPr>
          </w:p>
        </w:tc>
        <w:tc>
          <w:tcPr>
            <w:tcW w:w="3822" w:type="dxa"/>
            <w:gridSpan w:val="5"/>
            <w:vMerge w:val="restart"/>
          </w:tcPr>
          <w:p>
            <w:pPr>
              <w:pStyle w:val="12"/>
              <w:rPr>
                <w:rFonts w:ascii="Times New Roman"/>
              </w:rPr>
            </w:pPr>
            <w:r>
              <w:rPr>
                <w:rFonts w:hint="eastAsia" w:ascii="Times New Roman"/>
              </w:rPr>
              <w:t>指导青年教师黄漠老师1名，现已成为实训室骨干教师。</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restart"/>
          </w:tcPr>
          <w:p>
            <w:pPr>
              <w:pStyle w:val="12"/>
              <w:spacing w:before="149"/>
              <w:ind w:left="82"/>
              <w:rPr>
                <w:sz w:val="21"/>
              </w:rPr>
            </w:pPr>
            <w:r>
              <w:rPr>
                <w:sz w:val="21"/>
              </w:rPr>
              <w:t>理论教学</w:t>
            </w:r>
          </w:p>
        </w:tc>
        <w:tc>
          <w:tcPr>
            <w:tcW w:w="1146" w:type="dxa"/>
            <w:vMerge w:val="restart"/>
          </w:tcPr>
          <w:p>
            <w:pPr>
              <w:pStyle w:val="12"/>
              <w:spacing w:before="149"/>
              <w:ind w:left="102"/>
              <w:rPr>
                <w:sz w:val="21"/>
              </w:rPr>
            </w:pPr>
            <w:r>
              <w:rPr>
                <w:sz w:val="21"/>
              </w:rPr>
              <w:t>实践教学</w:t>
            </w: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2618" w:type="dxa"/>
            <w:gridSpan w:val="2"/>
            <w:vMerge w:val="restart"/>
          </w:tcPr>
          <w:p>
            <w:pPr>
              <w:pStyle w:val="12"/>
              <w:spacing w:before="5"/>
              <w:rPr>
                <w:rFonts w:ascii="Times New Roman"/>
                <w:sz w:val="19"/>
              </w:rPr>
            </w:pPr>
          </w:p>
          <w:p>
            <w:pPr>
              <w:pStyle w:val="12"/>
              <w:ind w:left="628"/>
              <w:rPr>
                <w:sz w:val="21"/>
              </w:rPr>
            </w:pPr>
            <w:r>
              <w:rPr>
                <w:sz w:val="21"/>
              </w:rPr>
              <w:t>现任专业技术职务</w:t>
            </w:r>
          </w:p>
        </w:tc>
        <w:tc>
          <w:tcPr>
            <w:tcW w:w="1610" w:type="dxa"/>
            <w:gridSpan w:val="3"/>
            <w:vMerge w:val="restart"/>
          </w:tcPr>
          <w:p>
            <w:pPr>
              <w:pStyle w:val="12"/>
              <w:rPr>
                <w:rFonts w:ascii="Times New Roman"/>
              </w:rPr>
            </w:pPr>
            <w:r>
              <w:rPr>
                <w:rFonts w:ascii="Times New Roman"/>
              </w:rPr>
              <w:t>讲师</w:t>
            </w:r>
          </w:p>
        </w:tc>
        <w:tc>
          <w:tcPr>
            <w:tcW w:w="1104" w:type="dxa"/>
            <w:vMerge w:val="restart"/>
          </w:tcPr>
          <w:p>
            <w:pPr>
              <w:pStyle w:val="12"/>
              <w:spacing w:before="7"/>
              <w:rPr>
                <w:rFonts w:ascii="Times New Roman"/>
                <w:sz w:val="18"/>
              </w:rPr>
            </w:pPr>
          </w:p>
          <w:p>
            <w:pPr>
              <w:pStyle w:val="12"/>
              <w:ind w:left="120"/>
              <w:rPr>
                <w:sz w:val="21"/>
              </w:rPr>
            </w:pPr>
            <w:r>
              <w:rPr>
                <w:sz w:val="21"/>
              </w:rPr>
              <w:t>获得时间</w:t>
            </w:r>
          </w:p>
        </w:tc>
        <w:tc>
          <w:tcPr>
            <w:tcW w:w="1451" w:type="dxa"/>
            <w:gridSpan w:val="2"/>
            <w:vMerge w:val="restart"/>
          </w:tcPr>
          <w:p>
            <w:pPr>
              <w:pStyle w:val="12"/>
              <w:rPr>
                <w:rFonts w:ascii="Times New Roman"/>
              </w:rPr>
            </w:pPr>
            <w:r>
              <w:rPr>
                <w:rFonts w:hint="eastAsia" w:ascii="Times New Roman"/>
              </w:rPr>
              <w:t>2013年1月</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618" w:type="dxa"/>
            <w:gridSpan w:val="2"/>
            <w:vMerge w:val="continue"/>
            <w:tcBorders>
              <w:top w:val="nil"/>
            </w:tcBorders>
          </w:tcPr>
          <w:p>
            <w:pPr>
              <w:rPr>
                <w:sz w:val="2"/>
                <w:szCs w:val="2"/>
              </w:rPr>
            </w:pPr>
          </w:p>
        </w:tc>
        <w:tc>
          <w:tcPr>
            <w:tcW w:w="1610" w:type="dxa"/>
            <w:gridSpan w:val="3"/>
            <w:vMerge w:val="continue"/>
            <w:tcBorders>
              <w:top w:val="nil"/>
            </w:tcBorders>
          </w:tcPr>
          <w:p>
            <w:pPr>
              <w:rPr>
                <w:sz w:val="2"/>
                <w:szCs w:val="2"/>
              </w:rPr>
            </w:pPr>
          </w:p>
        </w:tc>
        <w:tc>
          <w:tcPr>
            <w:tcW w:w="1104" w:type="dxa"/>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restart"/>
          </w:tcPr>
          <w:p>
            <w:pPr>
              <w:pStyle w:val="12"/>
              <w:rPr>
                <w:rFonts w:ascii="Times New Roman"/>
              </w:rPr>
            </w:pPr>
            <w:r>
              <w:rPr>
                <w:rFonts w:hint="eastAsia" w:ascii="Times New Roman"/>
              </w:rPr>
              <w:t>2015</w:t>
            </w:r>
          </w:p>
          <w:p>
            <w:pPr>
              <w:pStyle w:val="12"/>
              <w:rPr>
                <w:rFonts w:ascii="Times New Roman"/>
              </w:rPr>
            </w:pPr>
          </w:p>
          <w:p>
            <w:pPr>
              <w:pStyle w:val="12"/>
              <w:rPr>
                <w:rFonts w:ascii="Times New Roman"/>
              </w:rPr>
            </w:pPr>
            <w:r>
              <w:rPr>
                <w:rFonts w:hint="eastAsia" w:ascii="Times New Roman"/>
              </w:rPr>
              <w:t>2016</w:t>
            </w:r>
          </w:p>
          <w:p>
            <w:pPr>
              <w:pStyle w:val="12"/>
              <w:rPr>
                <w:rFonts w:ascii="Times New Roman"/>
              </w:rPr>
            </w:pPr>
          </w:p>
          <w:p>
            <w:pPr>
              <w:pStyle w:val="12"/>
              <w:rPr>
                <w:rFonts w:ascii="Times New Roman"/>
              </w:rPr>
            </w:pPr>
            <w:r>
              <w:rPr>
                <w:rFonts w:hint="eastAsia" w:ascii="Times New Roman"/>
              </w:rPr>
              <w:t>2017</w:t>
            </w:r>
          </w:p>
          <w:p>
            <w:pPr>
              <w:pStyle w:val="12"/>
              <w:rPr>
                <w:rFonts w:ascii="Times New Roman"/>
              </w:rPr>
            </w:pPr>
          </w:p>
          <w:p>
            <w:pPr>
              <w:pStyle w:val="12"/>
              <w:rPr>
                <w:rFonts w:ascii="Times New Roman"/>
              </w:rPr>
            </w:pPr>
            <w:r>
              <w:rPr>
                <w:rFonts w:hint="eastAsia" w:ascii="Times New Roman"/>
              </w:rPr>
              <w:t>2018</w:t>
            </w:r>
          </w:p>
          <w:p>
            <w:pPr>
              <w:pStyle w:val="12"/>
              <w:rPr>
                <w:rFonts w:ascii="Times New Roman"/>
              </w:rPr>
            </w:pPr>
          </w:p>
          <w:p>
            <w:pPr>
              <w:pStyle w:val="12"/>
              <w:rPr>
                <w:rFonts w:ascii="Times New Roman"/>
              </w:rPr>
            </w:pPr>
          </w:p>
          <w:p>
            <w:pPr>
              <w:pStyle w:val="12"/>
              <w:rPr>
                <w:rFonts w:ascii="Times New Roman"/>
              </w:rPr>
            </w:pPr>
            <w:r>
              <w:rPr>
                <w:rFonts w:hint="eastAsia" w:ascii="Times New Roman"/>
              </w:rPr>
              <w:t>2019</w:t>
            </w:r>
          </w:p>
        </w:tc>
        <w:tc>
          <w:tcPr>
            <w:tcW w:w="1046" w:type="dxa"/>
            <w:vMerge w:val="restart"/>
          </w:tcPr>
          <w:p>
            <w:pPr>
              <w:pStyle w:val="12"/>
              <w:rPr>
                <w:rFonts w:ascii="Times New Roman"/>
              </w:rPr>
            </w:pPr>
            <w:r>
              <w:rPr>
                <w:rFonts w:hint="eastAsia" w:ascii="Times New Roman"/>
              </w:rPr>
              <w:t>568</w:t>
            </w:r>
          </w:p>
          <w:p>
            <w:pPr>
              <w:pStyle w:val="12"/>
              <w:rPr>
                <w:rFonts w:ascii="Times New Roman"/>
              </w:rPr>
            </w:pPr>
          </w:p>
          <w:p>
            <w:pPr>
              <w:pStyle w:val="12"/>
              <w:rPr>
                <w:rFonts w:ascii="Times New Roman"/>
              </w:rPr>
            </w:pPr>
            <w:r>
              <w:rPr>
                <w:rFonts w:hint="eastAsia" w:ascii="Times New Roman"/>
              </w:rPr>
              <w:t>440</w:t>
            </w:r>
          </w:p>
          <w:p>
            <w:pPr>
              <w:pStyle w:val="12"/>
              <w:rPr>
                <w:rFonts w:ascii="Times New Roman"/>
              </w:rPr>
            </w:pPr>
          </w:p>
          <w:p>
            <w:pPr>
              <w:pStyle w:val="12"/>
              <w:rPr>
                <w:rFonts w:ascii="Times New Roman"/>
              </w:rPr>
            </w:pPr>
            <w:r>
              <w:rPr>
                <w:rFonts w:hint="eastAsia" w:ascii="Times New Roman"/>
              </w:rPr>
              <w:t>420</w:t>
            </w:r>
          </w:p>
          <w:p>
            <w:pPr>
              <w:pStyle w:val="12"/>
              <w:rPr>
                <w:rFonts w:ascii="Times New Roman"/>
              </w:rPr>
            </w:pPr>
          </w:p>
          <w:p>
            <w:pPr>
              <w:pStyle w:val="12"/>
              <w:rPr>
                <w:rFonts w:ascii="Times New Roman"/>
              </w:rPr>
            </w:pPr>
            <w:r>
              <w:rPr>
                <w:rFonts w:hint="eastAsia" w:ascii="Times New Roman"/>
              </w:rPr>
              <w:t>428</w:t>
            </w:r>
          </w:p>
          <w:p>
            <w:pPr>
              <w:pStyle w:val="12"/>
              <w:rPr>
                <w:rFonts w:ascii="Times New Roman"/>
              </w:rPr>
            </w:pPr>
          </w:p>
          <w:p>
            <w:pPr>
              <w:pStyle w:val="12"/>
              <w:rPr>
                <w:rFonts w:ascii="Times New Roman"/>
              </w:rPr>
            </w:pPr>
          </w:p>
          <w:p>
            <w:pPr>
              <w:pStyle w:val="12"/>
              <w:rPr>
                <w:rFonts w:ascii="Times New Roman"/>
              </w:rPr>
            </w:pPr>
            <w:r>
              <w:rPr>
                <w:rFonts w:hint="eastAsia" w:ascii="Times New Roman"/>
              </w:rPr>
              <w:t>434</w:t>
            </w:r>
          </w:p>
        </w:tc>
        <w:tc>
          <w:tcPr>
            <w:tcW w:w="1146" w:type="dxa"/>
            <w:vMerge w:val="restart"/>
          </w:tcPr>
          <w:p>
            <w:pPr>
              <w:pStyle w:val="12"/>
              <w:rPr>
                <w:rFonts w:ascii="Times New Roman"/>
              </w:rPr>
            </w:pPr>
            <w:r>
              <w:rPr>
                <w:rFonts w:hint="eastAsia" w:ascii="Times New Roman"/>
              </w:rPr>
              <w:t>140</w:t>
            </w:r>
          </w:p>
          <w:p>
            <w:pPr>
              <w:pStyle w:val="12"/>
              <w:rPr>
                <w:rFonts w:ascii="Times New Roman"/>
              </w:rPr>
            </w:pPr>
          </w:p>
          <w:p>
            <w:pPr>
              <w:pStyle w:val="12"/>
              <w:rPr>
                <w:rFonts w:ascii="Times New Roman"/>
              </w:rPr>
            </w:pPr>
            <w:r>
              <w:rPr>
                <w:rFonts w:hint="eastAsia" w:ascii="Times New Roman"/>
              </w:rPr>
              <w:t>112</w:t>
            </w:r>
          </w:p>
          <w:p>
            <w:pPr>
              <w:pStyle w:val="12"/>
              <w:rPr>
                <w:rFonts w:ascii="Times New Roman"/>
              </w:rPr>
            </w:pPr>
          </w:p>
          <w:p>
            <w:pPr>
              <w:pStyle w:val="12"/>
              <w:rPr>
                <w:rFonts w:ascii="Times New Roman"/>
              </w:rPr>
            </w:pPr>
            <w:r>
              <w:rPr>
                <w:rFonts w:hint="eastAsia" w:ascii="Times New Roman"/>
              </w:rPr>
              <w:t>140</w:t>
            </w:r>
          </w:p>
          <w:p>
            <w:pPr>
              <w:pStyle w:val="12"/>
              <w:rPr>
                <w:rFonts w:ascii="Times New Roman"/>
              </w:rPr>
            </w:pPr>
          </w:p>
          <w:p>
            <w:pPr>
              <w:pStyle w:val="12"/>
              <w:rPr>
                <w:rFonts w:ascii="Times New Roman"/>
              </w:rPr>
            </w:pPr>
            <w:r>
              <w:rPr>
                <w:rFonts w:hint="eastAsia" w:ascii="Times New Roman"/>
              </w:rPr>
              <w:t>196</w:t>
            </w:r>
          </w:p>
          <w:p>
            <w:pPr>
              <w:pStyle w:val="12"/>
              <w:rPr>
                <w:rFonts w:ascii="Times New Roman"/>
              </w:rPr>
            </w:pPr>
          </w:p>
          <w:p>
            <w:pPr>
              <w:pStyle w:val="12"/>
              <w:rPr>
                <w:rFonts w:ascii="Times New Roman"/>
              </w:rPr>
            </w:pPr>
          </w:p>
          <w:p>
            <w:pPr>
              <w:pStyle w:val="12"/>
              <w:rPr>
                <w:rFonts w:ascii="Times New Roman"/>
              </w:rPr>
            </w:pPr>
            <w:r>
              <w:rPr>
                <w:rFonts w:hint="eastAsia" w:ascii="Times New Roman"/>
              </w:rPr>
              <w:t>56</w:t>
            </w:r>
          </w:p>
        </w:tc>
        <w:tc>
          <w:tcPr>
            <w:tcW w:w="1757" w:type="dxa"/>
            <w:vMerge w:val="restart"/>
          </w:tcPr>
          <w:p>
            <w:pPr>
              <w:pStyle w:val="12"/>
              <w:rPr>
                <w:rFonts w:ascii="Times New Roman"/>
              </w:rPr>
            </w:pPr>
            <w:r>
              <w:rPr>
                <w:rFonts w:hint="eastAsia"/>
                <w:color w:val="000000"/>
                <w:szCs w:val="21"/>
              </w:rPr>
              <w:t>铁路职工培训、本科函授培训、客运技能比武赛前培训、学生创业大赛指导培训、专升本自考培训等工作量累计</w:t>
            </w:r>
            <w:r>
              <w:rPr>
                <w:rFonts w:hint="eastAsia" w:ascii="Times New Roman"/>
              </w:rPr>
              <w:t>360学时。</w:t>
            </w: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1342" w:type="dxa"/>
          </w:tcPr>
          <w:p>
            <w:pPr>
              <w:pStyle w:val="12"/>
              <w:spacing w:before="8"/>
              <w:rPr>
                <w:rFonts w:ascii="Times New Roman"/>
                <w:sz w:val="17"/>
              </w:rPr>
            </w:pPr>
          </w:p>
          <w:p>
            <w:pPr>
              <w:pStyle w:val="12"/>
              <w:spacing w:before="1"/>
              <w:ind w:left="2"/>
              <w:jc w:val="center"/>
              <w:rPr>
                <w:sz w:val="21"/>
              </w:rPr>
            </w:pPr>
            <w:r>
              <w:rPr>
                <w:sz w:val="21"/>
              </w:rPr>
              <w:t>外 语 成 绩</w:t>
            </w:r>
          </w:p>
        </w:tc>
        <w:tc>
          <w:tcPr>
            <w:tcW w:w="1276" w:type="dxa"/>
          </w:tcPr>
          <w:p>
            <w:pPr>
              <w:pStyle w:val="12"/>
              <w:rPr>
                <w:rFonts w:ascii="Times New Roman"/>
              </w:rPr>
            </w:pPr>
            <w:r>
              <w:rPr>
                <w:rFonts w:hint="eastAsia" w:ascii="Times New Roman"/>
              </w:rPr>
              <w:t>A级81</w:t>
            </w:r>
          </w:p>
        </w:tc>
        <w:tc>
          <w:tcPr>
            <w:tcW w:w="2714" w:type="dxa"/>
            <w:gridSpan w:val="4"/>
          </w:tcPr>
          <w:p>
            <w:pPr>
              <w:pStyle w:val="12"/>
              <w:spacing w:before="10"/>
              <w:rPr>
                <w:rFonts w:ascii="Times New Roman"/>
                <w:sz w:val="16"/>
              </w:rPr>
            </w:pPr>
          </w:p>
          <w:p>
            <w:pPr>
              <w:pStyle w:val="12"/>
              <w:spacing w:before="1"/>
              <w:ind w:left="928"/>
              <w:rPr>
                <w:sz w:val="21"/>
              </w:rPr>
            </w:pPr>
            <w:r>
              <w:rPr>
                <w:sz w:val="21"/>
              </w:rPr>
              <w:t>计算机成绩</w:t>
            </w:r>
          </w:p>
        </w:tc>
        <w:tc>
          <w:tcPr>
            <w:tcW w:w="1451" w:type="dxa"/>
            <w:gridSpan w:val="2"/>
          </w:tcPr>
          <w:p>
            <w:pPr>
              <w:pStyle w:val="12"/>
              <w:rPr>
                <w:rFonts w:ascii="Times New Roman"/>
              </w:rPr>
            </w:pPr>
            <w:r>
              <w:rPr>
                <w:rFonts w:ascii="Times New Roman"/>
              </w:rPr>
              <w:t>合格</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tcPr>
          <w:p>
            <w:pPr>
              <w:pStyle w:val="12"/>
              <w:spacing w:before="150"/>
              <w:ind w:left="107"/>
              <w:rPr>
                <w:sz w:val="21"/>
              </w:rPr>
            </w:pPr>
            <w:r>
              <w:rPr>
                <w:sz w:val="21"/>
              </w:rPr>
              <w:t>最 高 学 历</w:t>
            </w:r>
          </w:p>
        </w:tc>
        <w:tc>
          <w:tcPr>
            <w:tcW w:w="1276" w:type="dxa"/>
            <w:vMerge w:val="restart"/>
          </w:tcPr>
          <w:p>
            <w:pPr>
              <w:pStyle w:val="12"/>
              <w:rPr>
                <w:rFonts w:ascii="Times New Roman"/>
              </w:rPr>
            </w:pPr>
            <w:r>
              <w:rPr>
                <w:rFonts w:ascii="Times New Roman"/>
              </w:rPr>
              <w:t>大学本科</w:t>
            </w:r>
          </w:p>
        </w:tc>
        <w:tc>
          <w:tcPr>
            <w:tcW w:w="2714" w:type="dxa"/>
            <w:gridSpan w:val="4"/>
            <w:vMerge w:val="restart"/>
          </w:tcPr>
          <w:p>
            <w:pPr>
              <w:pStyle w:val="12"/>
              <w:spacing w:before="138"/>
              <w:ind w:left="912" w:right="911"/>
              <w:jc w:val="center"/>
              <w:rPr>
                <w:sz w:val="21"/>
              </w:rPr>
            </w:pPr>
            <w:r>
              <w:rPr>
                <w:sz w:val="21"/>
              </w:rPr>
              <w:t>最高学位</w:t>
            </w:r>
          </w:p>
        </w:tc>
        <w:tc>
          <w:tcPr>
            <w:tcW w:w="1451" w:type="dxa"/>
            <w:gridSpan w:val="2"/>
            <w:vMerge w:val="restart"/>
          </w:tcPr>
          <w:p>
            <w:pPr>
              <w:pStyle w:val="12"/>
              <w:rPr>
                <w:rFonts w:ascii="Times New Roman"/>
              </w:rPr>
            </w:pPr>
            <w:r>
              <w:rPr>
                <w:rFonts w:ascii="Times New Roman"/>
              </w:rPr>
              <w:t>工学学士</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restart"/>
          </w:tcPr>
          <w:p>
            <w:pPr>
              <w:pStyle w:val="12"/>
              <w:spacing w:before="148"/>
              <w:ind w:left="3451" w:right="3301"/>
              <w:jc w:val="center"/>
              <w:rPr>
                <w:sz w:val="21"/>
              </w:rPr>
            </w:pPr>
            <w:r>
              <w:rPr>
                <w:sz w:val="21"/>
              </w:rPr>
              <w:t>任教课程</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tcPr>
          <w:p>
            <w:pPr>
              <w:pStyle w:val="12"/>
              <w:spacing w:before="4"/>
              <w:rPr>
                <w:rFonts w:ascii="Times New Roman"/>
                <w:sz w:val="24"/>
              </w:rPr>
            </w:pPr>
          </w:p>
          <w:p>
            <w:pPr>
              <w:pStyle w:val="12"/>
              <w:ind w:left="138"/>
              <w:rPr>
                <w:sz w:val="21"/>
              </w:rPr>
            </w:pPr>
            <w:r>
              <w:rPr>
                <w:sz w:val="21"/>
              </w:rPr>
              <w:t>现从事专业</w:t>
            </w:r>
          </w:p>
        </w:tc>
        <w:tc>
          <w:tcPr>
            <w:tcW w:w="1276" w:type="dxa"/>
            <w:vMerge w:val="restart"/>
          </w:tcPr>
          <w:p>
            <w:pPr>
              <w:pStyle w:val="12"/>
              <w:rPr>
                <w:rFonts w:ascii="Times New Roman"/>
              </w:rPr>
            </w:pPr>
            <w:r>
              <w:rPr>
                <w:rFonts w:ascii="Times New Roman"/>
              </w:rPr>
              <w:t>铁道运输</w:t>
            </w:r>
          </w:p>
        </w:tc>
        <w:tc>
          <w:tcPr>
            <w:tcW w:w="2714" w:type="dxa"/>
            <w:gridSpan w:val="4"/>
            <w:vMerge w:val="restart"/>
          </w:tcPr>
          <w:p>
            <w:pPr>
              <w:pStyle w:val="12"/>
              <w:spacing w:before="6"/>
              <w:rPr>
                <w:rFonts w:ascii="Times New Roman"/>
                <w:sz w:val="23"/>
              </w:rPr>
            </w:pPr>
          </w:p>
          <w:p>
            <w:pPr>
              <w:pStyle w:val="12"/>
              <w:ind w:left="912" w:right="911"/>
              <w:jc w:val="center"/>
              <w:rPr>
                <w:sz w:val="21"/>
              </w:rPr>
            </w:pPr>
            <w:r>
              <w:rPr>
                <w:sz w:val="21"/>
              </w:rPr>
              <w:t>是否破格</w:t>
            </w:r>
          </w:p>
        </w:tc>
        <w:tc>
          <w:tcPr>
            <w:tcW w:w="1451" w:type="dxa"/>
            <w:gridSpan w:val="2"/>
            <w:vMerge w:val="restart"/>
          </w:tcPr>
          <w:p>
            <w:pPr>
              <w:pStyle w:val="12"/>
              <w:rPr>
                <w:rFonts w:ascii="Times New Roman"/>
              </w:rPr>
            </w:pPr>
            <w:r>
              <w:rPr>
                <w:rFonts w:ascii="Times New Roman"/>
              </w:rPr>
              <w:t>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restart"/>
          </w:tcPr>
          <w:p>
            <w:pPr>
              <w:pStyle w:val="12"/>
              <w:rPr>
                <w:rFonts w:ascii="Times New Roman"/>
              </w:rPr>
            </w:pPr>
            <w:r>
              <w:rPr>
                <w:rFonts w:hint="eastAsia"/>
                <w:szCs w:val="21"/>
              </w:rPr>
              <w:t>《铁路线路及站场》、《铁路机车车辆》、《客运组织》、《客运乘务》、《列车乘务作业》、《铁路旅客运输心理》、《城轨客运组织》、《铁路客运服务礼仪》、《旅客运输心理》、《铁路客运组织与服务》等主干课程及《客运实习》、《客运定岗实习》、《乘务定岗实习》、《城轨车站设备操作训练》、《礼仪实训》、《专业综合实训》、《考工训练》、《顶岗实习》、《毕业设计》等实践课程的教学</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5332" w:type="dxa"/>
            <w:gridSpan w:val="6"/>
          </w:tcPr>
          <w:p>
            <w:pPr>
              <w:pStyle w:val="12"/>
              <w:spacing w:before="96"/>
              <w:ind w:left="1906" w:right="1906"/>
              <w:jc w:val="center"/>
              <w:rPr>
                <w:sz w:val="21"/>
              </w:rPr>
            </w:pPr>
            <w:r>
              <w:rPr>
                <w:sz w:val="21"/>
              </w:rPr>
              <w:t>毕业学校及专业</w:t>
            </w:r>
          </w:p>
        </w:tc>
        <w:tc>
          <w:tcPr>
            <w:tcW w:w="1451" w:type="dxa"/>
            <w:gridSpan w:val="2"/>
          </w:tcPr>
          <w:p>
            <w:pPr>
              <w:pStyle w:val="12"/>
              <w:spacing w:before="96"/>
              <w:ind w:left="298"/>
              <w:rPr>
                <w:sz w:val="21"/>
              </w:rPr>
            </w:pPr>
            <w:r>
              <w:rPr>
                <w:sz w:val="21"/>
              </w:rPr>
              <w:t>毕业时间</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6"/>
            <w:vMerge w:val="restart"/>
          </w:tcPr>
          <w:p>
            <w:pPr>
              <w:pStyle w:val="12"/>
              <w:rPr>
                <w:rFonts w:ascii="Times New Roman"/>
              </w:rPr>
            </w:pPr>
            <w:r>
              <w:rPr>
                <w:rFonts w:ascii="Times New Roman"/>
              </w:rPr>
              <w:t>石家庄铁道学院</w:t>
            </w:r>
            <w:r>
              <w:rPr>
                <w:rFonts w:hint="eastAsia" w:ascii="Times New Roman"/>
              </w:rPr>
              <w:t xml:space="preserve">  交通运输</w:t>
            </w:r>
          </w:p>
        </w:tc>
        <w:tc>
          <w:tcPr>
            <w:tcW w:w="1451" w:type="dxa"/>
            <w:gridSpan w:val="2"/>
            <w:vMerge w:val="restart"/>
          </w:tcPr>
          <w:p>
            <w:pPr>
              <w:pStyle w:val="12"/>
              <w:rPr>
                <w:rFonts w:ascii="Times New Roman"/>
              </w:rPr>
            </w:pPr>
            <w:r>
              <w:rPr>
                <w:rFonts w:hint="eastAsia" w:ascii="Times New Roman"/>
              </w:rPr>
              <w:t>2007年6月</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6"/>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9"/>
              <w:rPr>
                <w:rFonts w:ascii="Times New Roman"/>
                <w:sz w:val="24"/>
              </w:rPr>
            </w:pPr>
          </w:p>
          <w:p>
            <w:pPr>
              <w:pStyle w:val="12"/>
              <w:spacing w:line="249" w:lineRule="auto"/>
              <w:ind w:left="143" w:right="147"/>
              <w:rPr>
                <w:b/>
                <w:sz w:val="21"/>
              </w:rPr>
            </w:pPr>
            <w:r>
              <w:rPr>
                <w:b/>
                <w:sz w:val="21"/>
              </w:rPr>
              <w:t>科研工作</w:t>
            </w:r>
          </w:p>
        </w:tc>
        <w:tc>
          <w:tcPr>
            <w:tcW w:w="1196" w:type="dxa"/>
            <w:vMerge w:val="restart"/>
          </w:tcPr>
          <w:p>
            <w:pPr>
              <w:pStyle w:val="12"/>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73" w:type="dxa"/>
            <w:gridSpan w:val="2"/>
            <w:vMerge w:val="restart"/>
          </w:tcPr>
          <w:p>
            <w:pPr>
              <w:pStyle w:val="12"/>
              <w:spacing w:before="149"/>
              <w:ind w:left="506"/>
              <w:rPr>
                <w:sz w:val="21"/>
              </w:rPr>
            </w:pPr>
            <w:r>
              <w:rPr>
                <w:sz w:val="21"/>
              </w:rPr>
              <w:t>论文总数</w:t>
            </w:r>
          </w:p>
        </w:tc>
        <w:tc>
          <w:tcPr>
            <w:tcW w:w="1146" w:type="dxa"/>
            <w:vMerge w:val="restart"/>
          </w:tcPr>
          <w:p>
            <w:pPr>
              <w:pStyle w:val="12"/>
              <w:rPr>
                <w:rFonts w:ascii="Times New Roman"/>
              </w:rPr>
            </w:pPr>
            <w:r>
              <w:rPr>
                <w:rFonts w:hint="eastAsia" w:ascii="Times New Roman"/>
              </w:rPr>
              <w:t>4</w:t>
            </w:r>
          </w:p>
        </w:tc>
        <w:tc>
          <w:tcPr>
            <w:tcW w:w="7316" w:type="dxa"/>
            <w:gridSpan w:val="7"/>
            <w:vMerge w:val="restart"/>
          </w:tcPr>
          <w:p>
            <w:pPr>
              <w:pStyle w:val="12"/>
              <w:spacing w:before="149"/>
              <w:ind w:left="1416" w:right="1439"/>
              <w:jc w:val="center"/>
              <w:rPr>
                <w:sz w:val="21"/>
              </w:rPr>
            </w:pPr>
            <w:r>
              <w:rPr>
                <w:sz w:val="21"/>
              </w:rPr>
              <w:t>专（译）著、国家级规划教材、省级规划教材数</w:t>
            </w:r>
          </w:p>
        </w:tc>
        <w:tc>
          <w:tcPr>
            <w:tcW w:w="2084" w:type="dxa"/>
            <w:gridSpan w:val="3"/>
            <w:vMerge w:val="restart"/>
          </w:tcPr>
          <w:p>
            <w:pPr>
              <w:pStyle w:val="12"/>
              <w:rPr>
                <w:rFonts w:ascii="Times New Roman"/>
              </w:rPr>
            </w:pPr>
            <w:r>
              <w:rPr>
                <w:rFonts w:hint="eastAsia" w:ascii="Times New Roman"/>
              </w:rPr>
              <w:t>6</w:t>
            </w:r>
          </w:p>
        </w:tc>
        <w:tc>
          <w:tcPr>
            <w:tcW w:w="1239" w:type="dxa"/>
            <w:vMerge w:val="restart"/>
          </w:tcPr>
          <w:p>
            <w:pPr>
              <w:pStyle w:val="12"/>
              <w:rPr>
                <w:rFonts w:ascii="Times New Roman"/>
                <w:sz w:val="20"/>
              </w:rPr>
            </w:pPr>
          </w:p>
          <w:p>
            <w:pPr>
              <w:pStyle w:val="12"/>
              <w:rPr>
                <w:rFonts w:ascii="Times New Roman"/>
                <w:sz w:val="20"/>
              </w:rPr>
            </w:pPr>
          </w:p>
          <w:p>
            <w:pPr>
              <w:pStyle w:val="12"/>
              <w:spacing w:before="8"/>
              <w:rPr>
                <w:rFonts w:ascii="Times New Roman"/>
                <w:sz w:val="18"/>
              </w:rPr>
            </w:pPr>
          </w:p>
          <w:p>
            <w:pPr>
              <w:pStyle w:val="12"/>
              <w:spacing w:line="249" w:lineRule="auto"/>
              <w:ind w:left="178" w:right="210"/>
              <w:rPr>
                <w:sz w:val="21"/>
              </w:rPr>
            </w:pPr>
            <w:r>
              <w:rPr>
                <w:spacing w:val="-4"/>
                <w:sz w:val="21"/>
              </w:rPr>
              <w:t>科研部门</w:t>
            </w:r>
            <w:r>
              <w:rPr>
                <w:spacing w:val="-4"/>
                <w:w w:val="95"/>
                <w:sz w:val="21"/>
              </w:rPr>
              <w:t>审核意见</w:t>
            </w:r>
          </w:p>
          <w:p>
            <w:pPr>
              <w:pStyle w:val="12"/>
              <w:spacing w:before="2"/>
              <w:ind w:left="178"/>
              <w:rPr>
                <w:sz w:val="21"/>
              </w:rPr>
            </w:pPr>
            <w:r>
              <w:rPr>
                <w:w w:val="95"/>
                <w:sz w:val="21"/>
              </w:rPr>
              <w:t>（盖章）</w:t>
            </w: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130" w:line="249" w:lineRule="auto"/>
              <w:ind w:left="87" w:right="121"/>
              <w:jc w:val="both"/>
              <w:rPr>
                <w:sz w:val="21"/>
              </w:rPr>
            </w:pPr>
            <w:r>
              <w:rPr>
                <w:spacing w:val="-23"/>
                <w:sz w:val="21"/>
              </w:rPr>
              <w:t>科 研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restart"/>
          </w:tcPr>
          <w:p>
            <w:pPr>
              <w:pStyle w:val="12"/>
              <w:spacing w:before="150"/>
              <w:ind w:left="2422" w:right="2421"/>
              <w:jc w:val="center"/>
              <w:rPr>
                <w:sz w:val="21"/>
              </w:rPr>
            </w:pPr>
            <w:r>
              <w:rPr>
                <w:sz w:val="21"/>
              </w:rPr>
              <w:t>近五年年度考核情况</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873" w:type="dxa"/>
            <w:gridSpan w:val="2"/>
            <w:vMerge w:val="continue"/>
            <w:tcBorders>
              <w:top w:val="nil"/>
            </w:tcBorders>
          </w:tcPr>
          <w:p>
            <w:pPr>
              <w:rPr>
                <w:sz w:val="2"/>
                <w:szCs w:val="2"/>
              </w:rPr>
            </w:pPr>
          </w:p>
        </w:tc>
        <w:tc>
          <w:tcPr>
            <w:tcW w:w="1146" w:type="dxa"/>
            <w:vMerge w:val="continue"/>
            <w:tcBorders>
              <w:top w:val="nil"/>
            </w:tcBorders>
          </w:tcPr>
          <w:p>
            <w:pPr>
              <w:rPr>
                <w:sz w:val="2"/>
                <w:szCs w:val="2"/>
              </w:rPr>
            </w:pPr>
          </w:p>
        </w:tc>
        <w:tc>
          <w:tcPr>
            <w:tcW w:w="7316" w:type="dxa"/>
            <w:gridSpan w:val="7"/>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restart"/>
          </w:tcPr>
          <w:p>
            <w:pPr>
              <w:spacing w:line="280" w:lineRule="exact"/>
              <w:rPr>
                <w:szCs w:val="21"/>
              </w:rPr>
            </w:pPr>
            <w:r>
              <w:rPr>
                <w:rFonts w:hint="eastAsia"/>
                <w:szCs w:val="21"/>
              </w:rPr>
              <w:t>专著与教材：</w:t>
            </w:r>
          </w:p>
          <w:p>
            <w:pPr>
              <w:spacing w:line="280" w:lineRule="exact"/>
              <w:rPr>
                <w:szCs w:val="21"/>
              </w:rPr>
            </w:pPr>
            <w:r>
              <w:rPr>
                <w:rFonts w:hint="eastAsia"/>
                <w:szCs w:val="21"/>
                <w:lang w:val="en-US"/>
              </w:rPr>
              <w:t>（1）2015年9月，《高速铁路基本知识》（第一版），中国铁道出版社，参编；</w:t>
            </w:r>
          </w:p>
          <w:p>
            <w:pPr>
              <w:spacing w:line="280" w:lineRule="exact"/>
              <w:rPr>
                <w:szCs w:val="21"/>
              </w:rPr>
            </w:pPr>
            <w:r>
              <w:rPr>
                <w:rFonts w:hint="eastAsia"/>
                <w:szCs w:val="21"/>
                <w:lang w:val="en-US"/>
              </w:rPr>
              <w:t>（2）2017年8月，《铁路旅客运输心理学》（第1版），中国铁道出版社，参编；</w:t>
            </w:r>
          </w:p>
          <w:p>
            <w:pPr>
              <w:autoSpaceDE/>
              <w:autoSpaceDN/>
              <w:spacing w:line="280" w:lineRule="exact"/>
              <w:jc w:val="both"/>
              <w:rPr>
                <w:szCs w:val="21"/>
                <w:lang w:val="en-US"/>
              </w:rPr>
            </w:pPr>
            <w:r>
              <w:rPr>
                <w:rFonts w:hint="eastAsia"/>
                <w:szCs w:val="21"/>
                <w:lang w:val="en-US"/>
              </w:rPr>
              <w:t>（3）2017年10月，《集装箱运输实务》高职高专“十三五”规划教材，天津出版传媒集团，副主编。</w:t>
            </w:r>
          </w:p>
          <w:p>
            <w:pPr>
              <w:autoSpaceDE/>
              <w:autoSpaceDN/>
              <w:spacing w:line="280" w:lineRule="exact"/>
              <w:jc w:val="both"/>
              <w:rPr>
                <w:szCs w:val="21"/>
                <w:lang w:val="en-US"/>
              </w:rPr>
            </w:pPr>
            <w:r>
              <w:rPr>
                <w:rFonts w:hint="eastAsia"/>
                <w:szCs w:val="21"/>
                <w:lang w:val="en-US"/>
              </w:rPr>
              <w:t>（4）2018年11月，《高速铁路乘务工作实务》高等职业教育“十三五”规划教材，西南交通大学出版社，主编。</w:t>
            </w:r>
          </w:p>
          <w:p>
            <w:pPr>
              <w:autoSpaceDE/>
              <w:autoSpaceDN/>
              <w:spacing w:line="280" w:lineRule="exact"/>
              <w:jc w:val="both"/>
              <w:rPr>
                <w:szCs w:val="21"/>
                <w:lang w:val="en-US"/>
              </w:rPr>
            </w:pPr>
            <w:r>
              <w:rPr>
                <w:rFonts w:hint="eastAsia"/>
                <w:szCs w:val="21"/>
                <w:lang w:val="en-US"/>
              </w:rPr>
              <w:t>（5）2019年3月，《铁路运输设备辅助设计》高等职业教育“十三五”规划教材，西南交通大学出版社，副主编。</w:t>
            </w:r>
          </w:p>
          <w:p>
            <w:pPr>
              <w:autoSpaceDE/>
              <w:autoSpaceDN/>
              <w:spacing w:line="280" w:lineRule="exact"/>
              <w:jc w:val="both"/>
              <w:rPr>
                <w:szCs w:val="21"/>
              </w:rPr>
            </w:pPr>
            <w:r>
              <w:rPr>
                <w:rFonts w:hint="eastAsia"/>
                <w:szCs w:val="21"/>
                <w:lang w:val="en-US"/>
              </w:rPr>
              <w:t>（6）2019年11月，《铁路运输安全管理》高等职业教育“十三五”规划教材，西南交通大学出版社，主编。</w:t>
            </w:r>
          </w:p>
          <w:p>
            <w:pPr>
              <w:spacing w:line="280" w:lineRule="exact"/>
              <w:rPr>
                <w:szCs w:val="21"/>
              </w:rPr>
            </w:pPr>
            <w:r>
              <w:rPr>
                <w:rFonts w:hint="eastAsia"/>
                <w:szCs w:val="21"/>
                <w:lang w:val="en-US"/>
              </w:rPr>
              <w:t>论文：</w:t>
            </w:r>
          </w:p>
          <w:p>
            <w:pPr>
              <w:spacing w:line="280" w:lineRule="exact"/>
              <w:rPr>
                <w:szCs w:val="21"/>
              </w:rPr>
            </w:pPr>
            <w:r>
              <w:rPr>
                <w:rFonts w:hint="eastAsia"/>
                <w:szCs w:val="21"/>
                <w:lang w:val="en-US"/>
              </w:rPr>
              <w:t>（1）</w:t>
            </w:r>
            <w:r>
              <w:rPr>
                <w:szCs w:val="21"/>
                <w:lang w:val="en-US"/>
              </w:rPr>
              <w:t>赵小红. 对高职院教学改革的几点思考. 当代教育实践与教学研究（CN13-9000/G）.2017.8</w:t>
            </w:r>
            <w:r>
              <w:rPr>
                <w:rFonts w:hint="eastAsia"/>
                <w:szCs w:val="21"/>
                <w:lang w:val="en-US"/>
              </w:rPr>
              <w:t>；</w:t>
            </w:r>
          </w:p>
          <w:p>
            <w:pPr>
              <w:spacing w:line="280" w:lineRule="exact"/>
              <w:rPr>
                <w:szCs w:val="21"/>
              </w:rPr>
            </w:pPr>
            <w:r>
              <w:rPr>
                <w:rFonts w:hint="eastAsia"/>
                <w:szCs w:val="21"/>
                <w:lang w:val="en-US"/>
              </w:rPr>
              <w:t>（2）</w:t>
            </w:r>
            <w:r>
              <w:rPr>
                <w:szCs w:val="21"/>
                <w:lang w:val="en-US"/>
              </w:rPr>
              <w:t>赵小红. 高职院校课堂教学改革. 教育科学（CN50-9207/G）.2017.8</w:t>
            </w:r>
            <w:r>
              <w:rPr>
                <w:rFonts w:hint="eastAsia"/>
                <w:szCs w:val="21"/>
                <w:lang w:val="en-US"/>
              </w:rPr>
              <w:t>；</w:t>
            </w:r>
          </w:p>
          <w:p>
            <w:pPr>
              <w:spacing w:line="280" w:lineRule="exact"/>
              <w:rPr>
                <w:szCs w:val="21"/>
                <w:lang w:val="en-US"/>
              </w:rPr>
            </w:pPr>
            <w:r>
              <w:rPr>
                <w:rFonts w:hint="eastAsia"/>
                <w:szCs w:val="21"/>
                <w:lang w:val="en-US"/>
              </w:rPr>
              <w:t>（3）</w:t>
            </w:r>
            <w:r>
              <w:rPr>
                <w:szCs w:val="21"/>
                <w:lang w:val="en-US"/>
              </w:rPr>
              <w:t>赵小红 高双喜. 高职院校整体性教育教学改革研究. 科研（CN50-9230/G）.2017.10</w:t>
            </w:r>
            <w:r>
              <w:rPr>
                <w:rFonts w:hint="eastAsia"/>
                <w:szCs w:val="21"/>
                <w:lang w:val="en-US"/>
              </w:rPr>
              <w:t>。</w:t>
            </w:r>
          </w:p>
          <w:p>
            <w:pPr>
              <w:spacing w:line="280" w:lineRule="exact"/>
              <w:rPr>
                <w:szCs w:val="21"/>
              </w:rPr>
            </w:pPr>
            <w:r>
              <w:rPr>
                <w:rFonts w:hint="eastAsia"/>
                <w:szCs w:val="21"/>
                <w:lang w:val="en-US"/>
              </w:rPr>
              <w:t>（4）赵小红 周阳 李培锁.基于现代学徒制的高速铁路客运乘务专业人才培养模式研究.当代旅游（CN23-1508/G）.2019.08</w:t>
            </w:r>
          </w:p>
          <w:p>
            <w:pPr>
              <w:pStyle w:val="12"/>
              <w:rPr>
                <w:rFonts w:ascii="Times New Roman"/>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1342" w:type="dxa"/>
          </w:tcPr>
          <w:p>
            <w:pPr>
              <w:pStyle w:val="12"/>
              <w:spacing w:before="33"/>
              <w:ind w:left="21"/>
              <w:jc w:val="center"/>
              <w:rPr>
                <w:sz w:val="21"/>
              </w:rPr>
            </w:pPr>
            <w:r>
              <w:rPr>
                <w:rFonts w:hint="eastAsia"/>
                <w:sz w:val="21"/>
              </w:rPr>
              <w:t>2014</w:t>
            </w:r>
            <w:r>
              <w:rPr>
                <w:sz w:val="21"/>
              </w:rPr>
              <w:t>年度</w:t>
            </w:r>
          </w:p>
        </w:tc>
        <w:tc>
          <w:tcPr>
            <w:tcW w:w="1370" w:type="dxa"/>
            <w:gridSpan w:val="2"/>
          </w:tcPr>
          <w:p>
            <w:pPr>
              <w:pStyle w:val="12"/>
              <w:spacing w:before="33"/>
              <w:ind w:left="458" w:right="442"/>
              <w:jc w:val="center"/>
              <w:rPr>
                <w:sz w:val="21"/>
              </w:rPr>
            </w:pPr>
            <w:r>
              <w:rPr>
                <w:rFonts w:hint="eastAsia"/>
                <w:sz w:val="21"/>
              </w:rPr>
              <w:t>2015</w:t>
            </w:r>
            <w:r>
              <w:rPr>
                <w:sz w:val="21"/>
              </w:rPr>
              <w:t>年度</w:t>
            </w:r>
          </w:p>
        </w:tc>
        <w:tc>
          <w:tcPr>
            <w:tcW w:w="1356" w:type="dxa"/>
          </w:tcPr>
          <w:p>
            <w:pPr>
              <w:pStyle w:val="12"/>
              <w:spacing w:before="33"/>
              <w:ind w:left="444" w:right="442"/>
              <w:jc w:val="center"/>
              <w:rPr>
                <w:sz w:val="21"/>
              </w:rPr>
            </w:pPr>
            <w:r>
              <w:rPr>
                <w:rFonts w:hint="eastAsia"/>
                <w:sz w:val="21"/>
              </w:rPr>
              <w:t>2016</w:t>
            </w:r>
            <w:r>
              <w:rPr>
                <w:sz w:val="21"/>
              </w:rPr>
              <w:t>年度</w:t>
            </w:r>
          </w:p>
        </w:tc>
        <w:tc>
          <w:tcPr>
            <w:tcW w:w="1358" w:type="dxa"/>
            <w:gridSpan w:val="3"/>
          </w:tcPr>
          <w:p>
            <w:pPr>
              <w:pStyle w:val="12"/>
              <w:spacing w:before="33"/>
              <w:ind w:left="443" w:right="445"/>
              <w:jc w:val="center"/>
              <w:rPr>
                <w:sz w:val="21"/>
              </w:rPr>
            </w:pPr>
            <w:r>
              <w:rPr>
                <w:rFonts w:hint="eastAsia"/>
                <w:sz w:val="21"/>
              </w:rPr>
              <w:t>2017</w:t>
            </w:r>
            <w:r>
              <w:rPr>
                <w:sz w:val="21"/>
              </w:rPr>
              <w:t>年度</w:t>
            </w:r>
          </w:p>
        </w:tc>
        <w:tc>
          <w:tcPr>
            <w:tcW w:w="1357" w:type="dxa"/>
          </w:tcPr>
          <w:p>
            <w:pPr>
              <w:pStyle w:val="12"/>
              <w:spacing w:before="33"/>
              <w:ind w:left="441" w:right="446"/>
              <w:jc w:val="center"/>
              <w:rPr>
                <w:sz w:val="21"/>
              </w:rPr>
            </w:pPr>
            <w:r>
              <w:rPr>
                <w:rFonts w:hint="eastAsia"/>
                <w:sz w:val="21"/>
              </w:rPr>
              <w:t>2018</w:t>
            </w:r>
            <w:r>
              <w:rPr>
                <w:sz w:val="21"/>
              </w:rPr>
              <w:t>年度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342" w:type="dxa"/>
          </w:tcPr>
          <w:p>
            <w:pPr>
              <w:pStyle w:val="12"/>
              <w:rPr>
                <w:rFonts w:ascii="Times New Roman"/>
              </w:rPr>
            </w:pPr>
            <w:r>
              <w:rPr>
                <w:rFonts w:ascii="Times New Roman"/>
              </w:rPr>
              <w:t>优秀</w:t>
            </w:r>
          </w:p>
        </w:tc>
        <w:tc>
          <w:tcPr>
            <w:tcW w:w="1370" w:type="dxa"/>
            <w:gridSpan w:val="2"/>
          </w:tcPr>
          <w:p>
            <w:pPr>
              <w:pStyle w:val="12"/>
              <w:rPr>
                <w:rFonts w:ascii="Times New Roman"/>
              </w:rPr>
            </w:pPr>
            <w:r>
              <w:rPr>
                <w:rFonts w:hint="eastAsia" w:ascii="Times New Roman"/>
              </w:rPr>
              <w:t>称职</w:t>
            </w:r>
          </w:p>
        </w:tc>
        <w:tc>
          <w:tcPr>
            <w:tcW w:w="1356" w:type="dxa"/>
          </w:tcPr>
          <w:p>
            <w:pPr>
              <w:pStyle w:val="12"/>
              <w:rPr>
                <w:rFonts w:ascii="Times New Roman"/>
              </w:rPr>
            </w:pPr>
            <w:r>
              <w:rPr>
                <w:rFonts w:ascii="Times New Roman"/>
              </w:rPr>
              <w:t>称职</w:t>
            </w:r>
          </w:p>
        </w:tc>
        <w:tc>
          <w:tcPr>
            <w:tcW w:w="1358" w:type="dxa"/>
            <w:gridSpan w:val="3"/>
          </w:tcPr>
          <w:p>
            <w:pPr>
              <w:pStyle w:val="12"/>
              <w:rPr>
                <w:rFonts w:ascii="Times New Roman"/>
              </w:rPr>
            </w:pPr>
            <w:r>
              <w:rPr>
                <w:rFonts w:ascii="Times New Roman"/>
              </w:rPr>
              <w:t>称职</w:t>
            </w:r>
          </w:p>
        </w:tc>
        <w:tc>
          <w:tcPr>
            <w:tcW w:w="1357" w:type="dxa"/>
          </w:tcPr>
          <w:p>
            <w:pPr>
              <w:pStyle w:val="12"/>
              <w:rPr>
                <w:rFonts w:ascii="Times New Roman"/>
              </w:rPr>
            </w:pPr>
            <w:r>
              <w:rPr>
                <w:rFonts w:ascii="Times New Roman"/>
              </w:rPr>
              <w:t>优秀</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tcPr>
          <w:p>
            <w:pPr>
              <w:pStyle w:val="12"/>
              <w:spacing w:before="4" w:line="256" w:lineRule="exact"/>
              <w:ind w:left="1708"/>
              <w:rPr>
                <w:sz w:val="21"/>
              </w:rPr>
            </w:pPr>
            <w:r>
              <w:rPr>
                <w:sz w:val="21"/>
              </w:rPr>
              <w:t>工作经历与任现职以来继续教育情况</w:t>
            </w:r>
          </w:p>
          <w:p>
            <w:pPr>
              <w:spacing w:line="280" w:lineRule="exact"/>
              <w:rPr>
                <w:szCs w:val="21"/>
              </w:rPr>
            </w:pPr>
            <w:r>
              <w:rPr>
                <w:rFonts w:hint="eastAsia"/>
                <w:szCs w:val="21"/>
              </w:rPr>
              <w:t>工作经历：</w:t>
            </w:r>
          </w:p>
          <w:p>
            <w:pPr>
              <w:spacing w:line="280" w:lineRule="exact"/>
              <w:rPr>
                <w:szCs w:val="21"/>
              </w:rPr>
            </w:pPr>
            <w:r>
              <w:rPr>
                <w:rFonts w:hint="eastAsia"/>
                <w:szCs w:val="21"/>
                <w:lang w:val="en-US"/>
              </w:rPr>
              <w:t>1.2007年7月至2011年8月 昆明铁路局昆明客运段工作，历任列车员、列车长、车队技术员、乘务科技术干部、安全科技术干部。</w:t>
            </w:r>
          </w:p>
          <w:p>
            <w:pPr>
              <w:spacing w:line="280" w:lineRule="exact"/>
              <w:rPr>
                <w:szCs w:val="21"/>
              </w:rPr>
            </w:pPr>
            <w:r>
              <w:rPr>
                <w:rFonts w:hint="eastAsia"/>
                <w:szCs w:val="21"/>
                <w:lang w:val="en-US"/>
              </w:rPr>
              <w:t>2.2011年9月至今，湖南高速铁路职业技术学院铁道运输学院专业课教师，2013年12月至今任湖南高速铁路职业技术学院讲师、客运教研室副主任，从事铁道交通运营管理专业、城轨交通运营管理专业、高铁客运乘务专业等教学工作。</w:t>
            </w:r>
          </w:p>
          <w:p>
            <w:pPr>
              <w:spacing w:line="280" w:lineRule="exact"/>
              <w:rPr>
                <w:szCs w:val="21"/>
              </w:rPr>
            </w:pPr>
            <w:r>
              <w:rPr>
                <w:szCs w:val="21"/>
              </w:rPr>
              <w:t>继续教育情况</w:t>
            </w:r>
            <w:r>
              <w:rPr>
                <w:rFonts w:hint="eastAsia"/>
                <w:szCs w:val="21"/>
              </w:rPr>
              <w:t>：</w:t>
            </w:r>
          </w:p>
          <w:p>
            <w:pPr>
              <w:spacing w:line="280" w:lineRule="exact"/>
              <w:rPr>
                <w:szCs w:val="21"/>
              </w:rPr>
            </w:pPr>
            <w:r>
              <w:rPr>
                <w:rFonts w:hint="eastAsia"/>
                <w:szCs w:val="21"/>
              </w:rPr>
              <w:t>1、2014年4月参加中国职业技术教育学会举办的全国职业院校“课程改革及微课建设与科研工作实务”，培训成绩合格</w:t>
            </w:r>
          </w:p>
          <w:p>
            <w:pPr>
              <w:spacing w:line="280" w:lineRule="exact"/>
              <w:rPr>
                <w:szCs w:val="21"/>
              </w:rPr>
            </w:pPr>
            <w:r>
              <w:rPr>
                <w:rFonts w:hint="eastAsia"/>
                <w:szCs w:val="21"/>
              </w:rPr>
              <w:t>2、2014年10月参加广州铁路（集团）公司举办的广州铁路（集团）公司职业技能竞赛裁判培训，考试合格取得广州铁路（集团）公司职业技能竞赛裁判（工种：车站值班员、车站调度员）</w:t>
            </w:r>
          </w:p>
          <w:p>
            <w:pPr>
              <w:spacing w:line="280" w:lineRule="exact"/>
              <w:rPr>
                <w:szCs w:val="21"/>
              </w:rPr>
            </w:pPr>
            <w:r>
              <w:rPr>
                <w:rFonts w:hint="eastAsia"/>
                <w:szCs w:val="21"/>
              </w:rPr>
              <w:t>3、2015年6月参加湖南省专业技术人员继续教育，学习《绩效观讲座》、《创新能力讲座》、《依法治国浦发宣传》、《创新能力建设案例》，考试成绩合格。</w:t>
            </w:r>
          </w:p>
          <w:p>
            <w:pPr>
              <w:spacing w:line="280" w:lineRule="exact"/>
              <w:rPr>
                <w:szCs w:val="21"/>
              </w:rPr>
            </w:pPr>
            <w:r>
              <w:rPr>
                <w:rFonts w:hint="eastAsia"/>
                <w:szCs w:val="21"/>
              </w:rPr>
              <w:t>4、2016年5月参加湖南省专业技术人员继续教育，学习《新衡阳 新经济》、《消防安全知识讲座》、《保密意识与常识》、《创新案例读本》，考试成绩合格。</w:t>
            </w:r>
          </w:p>
          <w:p>
            <w:pPr>
              <w:spacing w:line="280" w:lineRule="exact"/>
              <w:rPr>
                <w:szCs w:val="21"/>
              </w:rPr>
            </w:pPr>
            <w:r>
              <w:rPr>
                <w:rFonts w:hint="eastAsia"/>
                <w:szCs w:val="21"/>
              </w:rPr>
              <w:t>5、2017年5月参加湖南省专业技术人员继续教育，学习《职业道德》、《保密意识与常识》、《法律与我同行》、《创新能力建设》，考试成绩合格。</w:t>
            </w:r>
          </w:p>
          <w:p>
            <w:pPr>
              <w:spacing w:line="280" w:lineRule="exact"/>
              <w:rPr>
                <w:szCs w:val="21"/>
              </w:rPr>
            </w:pPr>
            <w:r>
              <w:rPr>
                <w:rFonts w:hint="eastAsia"/>
                <w:szCs w:val="21"/>
              </w:rPr>
              <w:t>6、2018年5月参加湖南省专业技术人员继续教育，学习《开放强省建设课程》、《开放强省 衡阳崛起》、《文化“三自”与强衡》、《法制思维能力培训》，考试成绩合格。</w:t>
            </w:r>
          </w:p>
          <w:p>
            <w:pPr>
              <w:spacing w:line="280" w:lineRule="exact"/>
              <w:rPr>
                <w:szCs w:val="21"/>
              </w:rPr>
            </w:pPr>
            <w:r>
              <w:rPr>
                <w:rFonts w:hint="eastAsia"/>
                <w:szCs w:val="21"/>
              </w:rPr>
              <w:t>7、2018年7月参加湖南省职业院校教师培训与考核工作委员会办公室举办的湖南省职业院校信息技术应用能力培训，培训成绩合格</w:t>
            </w: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p>
            <w:pPr>
              <w:pStyle w:val="12"/>
              <w:spacing w:before="4" w:line="256" w:lineRule="exact"/>
              <w:ind w:left="1708"/>
              <w:rPr>
                <w:sz w:val="21"/>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trPr>
        <w:tc>
          <w:tcPr>
            <w:tcW w:w="6783" w:type="dxa"/>
            <w:gridSpan w:val="8"/>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6"/>
              </w:rPr>
            </w:pPr>
          </w:p>
          <w:p>
            <w:pPr>
              <w:pStyle w:val="12"/>
              <w:tabs>
                <w:tab w:val="left" w:pos="2522"/>
              </w:tabs>
              <w:ind w:left="316"/>
              <w:rPr>
                <w:sz w:val="21"/>
              </w:rPr>
            </w:pPr>
            <w:r>
              <w:rPr>
                <w:sz w:val="21"/>
              </w:rPr>
              <w:t>审核人签名：</w:t>
            </w:r>
            <w:r>
              <w:rPr>
                <w:sz w:val="21"/>
              </w:rPr>
              <w:tab/>
            </w:r>
            <w:r>
              <w:rPr>
                <w:sz w:val="21"/>
              </w:rPr>
              <w:t>人事部门盖章：</w:t>
            </w:r>
          </w:p>
        </w:tc>
        <w:tc>
          <w:tcPr>
            <w:tcW w:w="723" w:type="dxa"/>
            <w:vMerge w:val="continue"/>
            <w:tcBorders>
              <w:top w:val="nil"/>
            </w:tcBorders>
          </w:tcPr>
          <w:p>
            <w:pPr>
              <w:rPr>
                <w:sz w:val="2"/>
                <w:szCs w:val="2"/>
              </w:rPr>
            </w:pPr>
          </w:p>
        </w:tc>
        <w:tc>
          <w:tcPr>
            <w:tcW w:w="1196" w:type="dxa"/>
            <w:vMerge w:val="restart"/>
          </w:tcPr>
          <w:p>
            <w:pPr>
              <w:pStyle w:val="12"/>
              <w:spacing w:before="170" w:line="249" w:lineRule="auto"/>
              <w:ind w:left="168" w:right="177"/>
              <w:jc w:val="both"/>
              <w:rPr>
                <w:sz w:val="21"/>
              </w:rPr>
            </w:pPr>
            <w:r>
              <w:rPr>
                <w:sz w:val="21"/>
              </w:rPr>
              <w:t>承担或参与的科研教研技术开发项目</w:t>
            </w:r>
          </w:p>
          <w:p>
            <w:pPr>
              <w:pStyle w:val="12"/>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73" w:type="dxa"/>
            <w:gridSpan w:val="2"/>
          </w:tcPr>
          <w:p>
            <w:pPr>
              <w:pStyle w:val="12"/>
              <w:spacing w:before="3"/>
              <w:rPr>
                <w:rFonts w:ascii="Times New Roman"/>
              </w:rPr>
            </w:pPr>
          </w:p>
          <w:p>
            <w:pPr>
              <w:pStyle w:val="12"/>
              <w:spacing w:before="1"/>
              <w:ind w:left="182"/>
              <w:rPr>
                <w:sz w:val="21"/>
              </w:rPr>
            </w:pPr>
            <w:r>
              <w:rPr>
                <w:sz w:val="21"/>
              </w:rPr>
              <w:t>主持研究项目数</w:t>
            </w:r>
          </w:p>
        </w:tc>
        <w:tc>
          <w:tcPr>
            <w:tcW w:w="1146" w:type="dxa"/>
          </w:tcPr>
          <w:p>
            <w:pPr>
              <w:pStyle w:val="12"/>
              <w:rPr>
                <w:rFonts w:ascii="Times New Roman"/>
              </w:rPr>
            </w:pPr>
            <w:r>
              <w:rPr>
                <w:rFonts w:hint="eastAsia" w:ascii="Times New Roman"/>
              </w:rPr>
              <w:t>1</w:t>
            </w:r>
          </w:p>
        </w:tc>
        <w:tc>
          <w:tcPr>
            <w:tcW w:w="1757" w:type="dxa"/>
          </w:tcPr>
          <w:p>
            <w:pPr>
              <w:pStyle w:val="12"/>
              <w:spacing w:before="115" w:line="249" w:lineRule="auto"/>
              <w:ind w:left="549" w:right="462" w:hanging="106"/>
              <w:rPr>
                <w:sz w:val="21"/>
              </w:rPr>
            </w:pPr>
            <w:r>
              <w:rPr>
                <w:sz w:val="21"/>
              </w:rPr>
              <w:t>参与研究项目数</w:t>
            </w:r>
          </w:p>
        </w:tc>
        <w:tc>
          <w:tcPr>
            <w:tcW w:w="711" w:type="dxa"/>
          </w:tcPr>
          <w:p>
            <w:pPr>
              <w:pStyle w:val="12"/>
              <w:rPr>
                <w:rFonts w:ascii="Times New Roman"/>
              </w:rPr>
            </w:pPr>
          </w:p>
        </w:tc>
        <w:tc>
          <w:tcPr>
            <w:tcW w:w="1205" w:type="dxa"/>
          </w:tcPr>
          <w:p>
            <w:pPr>
              <w:pStyle w:val="12"/>
              <w:spacing w:before="3"/>
              <w:rPr>
                <w:rFonts w:ascii="Times New Roman"/>
              </w:rPr>
            </w:pPr>
          </w:p>
          <w:p>
            <w:pPr>
              <w:pStyle w:val="12"/>
              <w:spacing w:before="1"/>
              <w:ind w:left="167"/>
              <w:rPr>
                <w:sz w:val="21"/>
              </w:rPr>
            </w:pPr>
            <w:r>
              <w:rPr>
                <w:sz w:val="21"/>
              </w:rPr>
              <w:t>科研经费</w:t>
            </w:r>
          </w:p>
        </w:tc>
        <w:tc>
          <w:tcPr>
            <w:tcW w:w="1345" w:type="dxa"/>
          </w:tcPr>
          <w:p>
            <w:pPr>
              <w:pStyle w:val="12"/>
              <w:rPr>
                <w:rFonts w:ascii="Times New Roman"/>
              </w:rPr>
            </w:pPr>
            <w:r>
              <w:rPr>
                <w:rFonts w:hint="eastAsia" w:ascii="Times New Roman"/>
              </w:rPr>
              <w:t>1.8万</w:t>
            </w:r>
          </w:p>
        </w:tc>
        <w:tc>
          <w:tcPr>
            <w:tcW w:w="1660" w:type="dxa"/>
            <w:gridSpan w:val="2"/>
          </w:tcPr>
          <w:p>
            <w:pPr>
              <w:pStyle w:val="12"/>
              <w:spacing w:before="115" w:line="249" w:lineRule="auto"/>
              <w:ind w:left="91" w:right="115"/>
              <w:rPr>
                <w:sz w:val="21"/>
              </w:rPr>
            </w:pPr>
            <w:r>
              <w:rPr>
                <w:sz w:val="21"/>
              </w:rPr>
              <w:t>技术开发或社会服务项目数</w:t>
            </w:r>
          </w:p>
        </w:tc>
        <w:tc>
          <w:tcPr>
            <w:tcW w:w="1087" w:type="dxa"/>
            <w:gridSpan w:val="2"/>
          </w:tcPr>
          <w:p>
            <w:pPr>
              <w:pStyle w:val="12"/>
              <w:rPr>
                <w:rFonts w:ascii="Times New Roman"/>
              </w:rPr>
            </w:pPr>
          </w:p>
        </w:tc>
        <w:tc>
          <w:tcPr>
            <w:tcW w:w="880" w:type="dxa"/>
          </w:tcPr>
          <w:p>
            <w:pPr>
              <w:pStyle w:val="12"/>
              <w:spacing w:before="3"/>
              <w:rPr>
                <w:rFonts w:ascii="Times New Roman"/>
              </w:rPr>
            </w:pPr>
          </w:p>
          <w:p>
            <w:pPr>
              <w:pStyle w:val="12"/>
              <w:spacing w:before="1"/>
              <w:ind w:left="18"/>
              <w:rPr>
                <w:sz w:val="21"/>
              </w:rPr>
            </w:pPr>
            <w:r>
              <w:rPr>
                <w:sz w:val="21"/>
              </w:rPr>
              <w:t>专利数</w:t>
            </w:r>
          </w:p>
        </w:tc>
        <w:tc>
          <w:tcPr>
            <w:tcW w:w="755" w:type="dxa"/>
          </w:tcPr>
          <w:p>
            <w:pPr>
              <w:pStyle w:val="12"/>
              <w:rPr>
                <w:rFonts w:ascii="Times New Roman"/>
              </w:rPr>
            </w:pPr>
            <w:r>
              <w:rPr>
                <w:rFonts w:hint="eastAsia" w:ascii="Times New Roman"/>
              </w:rPr>
              <w:t>6</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7"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tcPr>
          <w:p>
            <w:pPr>
              <w:spacing w:line="280" w:lineRule="exact"/>
              <w:rPr>
                <w:szCs w:val="21"/>
              </w:rPr>
            </w:pPr>
            <w:r>
              <w:rPr>
                <w:rFonts w:hint="eastAsia"/>
                <w:szCs w:val="21"/>
              </w:rPr>
              <w:t>1.主持项目</w:t>
            </w:r>
          </w:p>
          <w:p>
            <w:pPr>
              <w:spacing w:line="280" w:lineRule="exact"/>
              <w:rPr>
                <w:szCs w:val="21"/>
              </w:rPr>
            </w:pPr>
            <w:r>
              <w:rPr>
                <w:rFonts w:hint="eastAsia"/>
                <w:szCs w:val="21"/>
              </w:rPr>
              <w:t>（1）项目名称：教育信息化2.0背景下高职智慧型课程构建研究—以《铁路客运组织》为例 ；立项审批单位：湖南省教育厅；项目编号：</w:t>
            </w:r>
            <w:r>
              <w:rPr>
                <w:rFonts w:hint="eastAsia"/>
                <w:szCs w:val="21"/>
                <w:lang w:val="en-US"/>
              </w:rPr>
              <w:t>18C1304；项目类别：教研教改。</w:t>
            </w:r>
          </w:p>
          <w:p>
            <w:pPr>
              <w:pStyle w:val="12"/>
              <w:rPr>
                <w:szCs w:val="21"/>
                <w:lang w:val="en-US"/>
              </w:rPr>
            </w:pPr>
            <w:r>
              <w:rPr>
                <w:rFonts w:hint="eastAsia"/>
                <w:szCs w:val="21"/>
                <w:lang w:val="en-US"/>
              </w:rPr>
              <w:t>2.主持或参与专利及软著</w:t>
            </w:r>
          </w:p>
          <w:p>
            <w:pPr>
              <w:pStyle w:val="12"/>
              <w:rPr>
                <w:szCs w:val="21"/>
                <w:lang w:val="en-US"/>
              </w:rPr>
            </w:pPr>
            <w:r>
              <w:rPr>
                <w:rFonts w:hint="eastAsia"/>
                <w:szCs w:val="21"/>
                <w:lang w:val="en-US"/>
              </w:rPr>
              <w:t>（1）实用新型专利名称：一种交通运输平台；立项审批单位：中华人民共和国国家知识产权局；专利号：ZL201620158979.X</w:t>
            </w:r>
          </w:p>
          <w:p>
            <w:pPr>
              <w:pStyle w:val="12"/>
              <w:rPr>
                <w:szCs w:val="21"/>
                <w:lang w:val="en-US"/>
              </w:rPr>
            </w:pPr>
            <w:r>
              <w:rPr>
                <w:rFonts w:hint="eastAsia"/>
                <w:szCs w:val="21"/>
                <w:lang w:val="en-US"/>
              </w:rPr>
              <w:t>（2）实用新型专利名称：一种铁路运输基于物流网的自动化信息互通装置；立项审批单位：中华人民共和国国家知识产权局；专利号：ZL201620963111.7</w:t>
            </w:r>
          </w:p>
          <w:p>
            <w:pPr>
              <w:pStyle w:val="12"/>
              <w:rPr>
                <w:szCs w:val="21"/>
                <w:lang w:val="en-US"/>
              </w:rPr>
            </w:pPr>
            <w:r>
              <w:rPr>
                <w:rFonts w:hint="eastAsia"/>
                <w:szCs w:val="21"/>
                <w:lang w:val="en-US"/>
              </w:rPr>
              <w:t>（3）实用新型专利名称：一种应急交通信号灯；立项审批单位：国家知识产权局；专利号：ZL201820689084.8</w:t>
            </w:r>
          </w:p>
          <w:p>
            <w:pPr>
              <w:pStyle w:val="12"/>
              <w:ind w:firstLine="110" w:firstLineChars="50"/>
              <w:rPr>
                <w:szCs w:val="21"/>
                <w:lang w:val="en-US"/>
              </w:rPr>
            </w:pPr>
            <w:r>
              <w:rPr>
                <w:rFonts w:hint="eastAsia"/>
                <w:szCs w:val="21"/>
                <w:lang w:val="en-US"/>
              </w:rPr>
              <w:t>(4)实用新型专利名称：一种道路指示牌；立项审批单位：国家知识产权局；专利号：ZL20182183216.4</w:t>
            </w:r>
          </w:p>
          <w:p>
            <w:pPr>
              <w:pStyle w:val="12"/>
              <w:rPr>
                <w:szCs w:val="21"/>
                <w:lang w:val="en-US"/>
              </w:rPr>
            </w:pPr>
            <w:r>
              <w:rPr>
                <w:rFonts w:hint="eastAsia"/>
                <w:szCs w:val="21"/>
                <w:lang w:val="en-US"/>
              </w:rPr>
              <w:t>（5）软件名称：高铁列车设备设施操作VR实训系统V1.0；立项审批单位：中华人民共和国国家知识产权局；登记号：2019SR0285340</w:t>
            </w:r>
          </w:p>
          <w:p>
            <w:pPr>
              <w:pStyle w:val="12"/>
              <w:rPr>
                <w:szCs w:val="21"/>
                <w:lang w:val="en-US"/>
              </w:rPr>
            </w:pPr>
            <w:r>
              <w:rPr>
                <w:rFonts w:hint="eastAsia"/>
                <w:szCs w:val="21"/>
                <w:lang w:val="en-US"/>
              </w:rPr>
              <w:t>（6）软件名称：公路交通拥堵疏导在线仿真系统V1.0；立项审批单位：中华人民共和国国家知识产权局；登记号：2019SR0943716</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7" w:hRule="atLeast"/>
        </w:trPr>
        <w:tc>
          <w:tcPr>
            <w:tcW w:w="6783" w:type="dxa"/>
            <w:gridSpan w:val="8"/>
            <w:vMerge w:val="continue"/>
            <w:tcBorders>
              <w:top w:val="nil"/>
            </w:tcBorders>
          </w:tcPr>
          <w:p>
            <w:pPr>
              <w:rPr>
                <w:sz w:val="2"/>
                <w:szCs w:val="2"/>
              </w:rPr>
            </w:pPr>
          </w:p>
        </w:tc>
        <w:tc>
          <w:tcPr>
            <w:tcW w:w="1919" w:type="dxa"/>
            <w:gridSpan w:val="2"/>
          </w:tcPr>
          <w:p>
            <w:pPr>
              <w:pStyle w:val="12"/>
              <w:rPr>
                <w:rFonts w:ascii="Times New Roman"/>
                <w:sz w:val="20"/>
              </w:rPr>
            </w:pPr>
          </w:p>
          <w:p>
            <w:pPr>
              <w:pStyle w:val="12"/>
              <w:spacing w:before="10"/>
              <w:rPr>
                <w:rFonts w:ascii="Times New Roman"/>
                <w:sz w:val="18"/>
              </w:rPr>
            </w:pPr>
          </w:p>
          <w:p>
            <w:pPr>
              <w:pStyle w:val="12"/>
              <w:spacing w:line="249" w:lineRule="auto"/>
              <w:ind w:left="320" w:right="328"/>
              <w:rPr>
                <w:sz w:val="21"/>
              </w:rPr>
            </w:pPr>
            <w:r>
              <w:rPr>
                <w:sz w:val="21"/>
              </w:rPr>
              <w:t>学生思想政治教育工作业绩</w:t>
            </w:r>
          </w:p>
        </w:tc>
        <w:tc>
          <w:tcPr>
            <w:tcW w:w="12419" w:type="dxa"/>
            <w:gridSpan w:val="13"/>
          </w:tcPr>
          <w:p>
            <w:pPr>
              <w:pStyle w:val="12"/>
              <w:rPr>
                <w:rFonts w:hint="eastAsia"/>
                <w:szCs w:val="21"/>
                <w:lang w:val="en-US"/>
              </w:rPr>
            </w:pPr>
            <w:r>
              <w:rPr>
                <w:rFonts w:hint="eastAsia"/>
                <w:szCs w:val="21"/>
                <w:lang w:val="en-US"/>
              </w:rPr>
              <w:t>1、2012年9月-2017年6月担任铁运高1204班主任。</w:t>
            </w:r>
          </w:p>
          <w:p>
            <w:pPr>
              <w:pStyle w:val="12"/>
              <w:rPr>
                <w:rFonts w:hint="eastAsia"/>
                <w:szCs w:val="21"/>
                <w:lang w:val="en-US"/>
              </w:rPr>
            </w:pPr>
            <w:r>
              <w:rPr>
                <w:rFonts w:hint="eastAsia"/>
                <w:szCs w:val="21"/>
                <w:lang w:val="en-US"/>
              </w:rPr>
              <w:t>2、2017年9月-2018年6月担任铁运1504班主任。</w:t>
            </w:r>
          </w:p>
          <w:p>
            <w:pPr>
              <w:pStyle w:val="12"/>
              <w:rPr>
                <w:rFonts w:hint="eastAsia"/>
                <w:szCs w:val="21"/>
                <w:lang w:val="en-US"/>
              </w:rPr>
            </w:pPr>
            <w:r>
              <w:rPr>
                <w:rFonts w:hint="eastAsia"/>
                <w:szCs w:val="21"/>
                <w:lang w:val="en-US"/>
              </w:rPr>
              <w:t>3、2018年9月-至今，担任铁运1807班主任。</w:t>
            </w:r>
          </w:p>
          <w:p>
            <w:pPr>
              <w:pStyle w:val="12"/>
              <w:rPr>
                <w:szCs w:val="21"/>
                <w:lang w:val="en-US"/>
              </w:rPr>
            </w:pPr>
            <w:r>
              <w:rPr>
                <w:rFonts w:hint="eastAsia"/>
                <w:szCs w:val="21"/>
                <w:lang w:val="en-US"/>
              </w:rPr>
              <w:t>4、2019年指导铁运1807班参加2019年度5.25心理健康主题活动获优秀主题班会奖。</w:t>
            </w:r>
          </w:p>
          <w:p>
            <w:pPr>
              <w:pStyle w:val="12"/>
              <w:rPr>
                <w:rFonts w:ascii="Times New Roman"/>
              </w:rPr>
            </w:pPr>
            <w:r>
              <w:rPr>
                <w:rFonts w:hint="eastAsia"/>
                <w:szCs w:val="21"/>
                <w:lang w:val="en-US"/>
              </w:rPr>
              <w:t>2、2019年获5.25心理健康主题活动优秀指导老师。</w:t>
            </w:r>
          </w:p>
        </w:tc>
        <w:tc>
          <w:tcPr>
            <w:tcW w:w="1239" w:type="dxa"/>
          </w:tcPr>
          <w:p>
            <w:pPr>
              <w:pStyle w:val="12"/>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pPr>
        <w:tabs>
          <w:tab w:val="left" w:pos="8219"/>
          <w:tab w:val="left" w:pos="17699"/>
          <w:tab w:val="left" w:pos="19859"/>
          <w:tab w:val="left" w:pos="20579"/>
          <w:tab w:val="left" w:pos="21299"/>
        </w:tabs>
        <w:spacing w:before="39" w:line="280" w:lineRule="auto"/>
        <w:ind w:left="1328" w:right="1032" w:hanging="310"/>
        <w:rPr>
          <w:sz w:val="24"/>
        </w:rPr>
        <w:sectPr>
          <w:footerReference r:id="rId3" w:type="default"/>
          <w:footerReference r:id="rId4" w:type="even"/>
          <w:pgSz w:w="23820" w:h="16840" w:orient="landscape"/>
          <w:pgMar w:top="1300" w:right="500" w:bottom="1580" w:left="740" w:header="0" w:footer="1384" w:gutter="0"/>
          <w:cols w:space="720" w:num="1"/>
        </w:sectPr>
      </w:pPr>
      <w:r>
        <w:rPr>
          <w:sz w:val="24"/>
        </w:rPr>
        <w:t>单位（公章）：</w:t>
      </w:r>
      <w:r>
        <w:rPr>
          <w:sz w:val="24"/>
        </w:rPr>
        <w:tab/>
      </w:r>
      <w:r>
        <w:rPr>
          <w:sz w:val="24"/>
        </w:rPr>
        <w:t>单位审核责任人签名：</w:t>
      </w:r>
      <w:r>
        <w:rPr>
          <w:sz w:val="24"/>
        </w:rPr>
        <w:tab/>
      </w:r>
      <w:r>
        <w:rPr>
          <w:sz w:val="24"/>
        </w:rPr>
        <w:t>填表日期：</w:t>
      </w:r>
      <w:r>
        <w:rPr>
          <w:sz w:val="24"/>
        </w:rPr>
        <w:tab/>
      </w:r>
      <w:r>
        <w:rPr>
          <w:sz w:val="24"/>
        </w:rPr>
        <w:t>年</w:t>
      </w:r>
      <w:r>
        <w:rPr>
          <w:sz w:val="24"/>
        </w:rPr>
        <w:tab/>
      </w:r>
      <w:r>
        <w:rPr>
          <w:sz w:val="24"/>
        </w:rPr>
        <w:t>月</w:t>
      </w:r>
      <w:r>
        <w:rPr>
          <w:sz w:val="24"/>
        </w:rPr>
        <w:tab/>
      </w:r>
      <w:r>
        <w:rPr>
          <w:spacing w:val="-17"/>
          <w:sz w:val="24"/>
        </w:rPr>
        <w:t>日</w:t>
      </w:r>
      <w:r>
        <w:rPr>
          <w:sz w:val="24"/>
        </w:rPr>
        <w:t>注：</w:t>
      </w:r>
      <w:r>
        <w:rPr>
          <w:rFonts w:ascii="Times New Roman" w:hAnsi="Times New Roman" w:eastAsia="Times New Roman"/>
          <w:sz w:val="24"/>
        </w:rPr>
        <w:t>1</w:t>
      </w:r>
      <w:r>
        <w:rPr>
          <w:sz w:val="24"/>
        </w:rPr>
        <w:t>、表中</w:t>
      </w:r>
      <w:r>
        <w:rPr>
          <w:rFonts w:ascii="Times New Roman" w:hAnsi="Times New Roman" w:eastAsia="Times New Roman"/>
          <w:sz w:val="24"/>
        </w:rPr>
        <w:t>“</w:t>
      </w:r>
      <w:r>
        <w:rPr>
          <w:sz w:val="24"/>
        </w:rPr>
        <w:t>其它教学工作量</w:t>
      </w:r>
      <w:r>
        <w:rPr>
          <w:rFonts w:ascii="Times New Roman" w:hAnsi="Times New Roman" w:eastAsia="Times New Roman"/>
          <w:sz w:val="24"/>
        </w:rPr>
        <w:t>”</w:t>
      </w:r>
      <w:r>
        <w:rPr>
          <w:sz w:val="24"/>
        </w:rPr>
        <w:t>是指出卷、监考、指导毕业生论文等。</w:t>
      </w:r>
      <w:r>
        <w:rPr>
          <w:rFonts w:ascii="Times New Roman" w:hAnsi="Times New Roman" w:eastAsia="Times New Roman"/>
          <w:sz w:val="24"/>
        </w:rPr>
        <w:t>2</w:t>
      </w:r>
      <w:r>
        <w:rPr>
          <w:sz w:val="24"/>
        </w:rPr>
        <w:t>、增刊、论文集、用稿通知、清样、习题集（库）等均不作为申报高级专业技术职务的参评材料</w:t>
      </w:r>
    </w:p>
    <w:p>
      <w:pPr>
        <w:tabs>
          <w:tab w:val="left" w:pos="3105"/>
          <w:tab w:val="left" w:pos="9372"/>
          <w:tab w:val="left" w:pos="12680"/>
        </w:tabs>
        <w:spacing w:before="6"/>
        <w:jc w:val="both"/>
        <w:rPr>
          <w:rFonts w:ascii="Times New Roman" w:eastAsiaTheme="minorEastAsia"/>
          <w:sz w:val="20"/>
        </w:rPr>
      </w:pPr>
    </w:p>
    <w:sectPr>
      <w:footerReference r:id="rId5" w:type="default"/>
      <w:footerReference r:id="rId6" w:type="even"/>
      <w:pgSz w:w="16840" w:h="11910" w:orient="landscape"/>
      <w:pgMar w:top="1360" w:right="1300" w:bottom="709" w:left="1580" w:header="0" w:footer="1384"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PMingLiU">
    <w:panose1 w:val="02020500000000000000"/>
    <w:charset w:val="88"/>
    <w:family w:val="auto"/>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 w:name="Verdana">
    <w:panose1 w:val="020B0604030504040204"/>
    <w:charset w:val="00"/>
    <w:family w:val="swiss"/>
    <w:pitch w:val="default"/>
    <w:sig w:usb0="A10006FF" w:usb1="4000205B" w:usb2="00000010" w:usb3="00000000" w:csb0="2000019F" w:csb1="00000000"/>
  </w:font>
  <w:font w:name="方正粗黑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lang w:val="en-US" w:bidi="ar-SA"/>
      </w:rPr>
      <w:drawing>
        <wp:anchor distT="0" distB="0" distL="0" distR="0" simplePos="0" relativeHeight="251658240" behindDoc="1" locked="0" layoutInCell="1" allowOverlap="1">
          <wp:simplePos x="0" y="0"/>
          <wp:positionH relativeFrom="page">
            <wp:posOffset>1570355</wp:posOffset>
          </wp:positionH>
          <wp:positionV relativeFrom="page">
            <wp:posOffset>3630930</wp:posOffset>
          </wp:positionV>
          <wp:extent cx="4189730" cy="4189730"/>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1.png"/>
                  <pic:cNvPicPr>
                    <a:picLocks noChangeAspect="1"/>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51658240" behindDoc="1" locked="0" layoutInCell="1" allowOverlap="1">
          <wp:simplePos x="0" y="0"/>
          <wp:positionH relativeFrom="page">
            <wp:posOffset>4091940</wp:posOffset>
          </wp:positionH>
          <wp:positionV relativeFrom="page">
            <wp:posOffset>1711325</wp:posOffset>
          </wp:positionV>
          <wp:extent cx="7089775" cy="7089775"/>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a:picLocks noChangeAspect="1"/>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51660288" behindDoc="1" locked="0" layoutInCell="1" allowOverlap="1">
          <wp:simplePos x="0" y="0"/>
          <wp:positionH relativeFrom="page">
            <wp:posOffset>1717040</wp:posOffset>
          </wp:positionH>
          <wp:positionV relativeFrom="page">
            <wp:posOffset>3437890</wp:posOffset>
          </wp:positionV>
          <wp:extent cx="3985260" cy="398526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51659264" behindDoc="1" locked="0" layoutInCell="1" allowOverlap="1">
          <wp:simplePos x="0" y="0"/>
          <wp:positionH relativeFrom="page">
            <wp:posOffset>1717040</wp:posOffset>
          </wp:positionH>
          <wp:positionV relativeFrom="page">
            <wp:posOffset>3374390</wp:posOffset>
          </wp:positionV>
          <wp:extent cx="3985260" cy="398526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2"/>
  </w:compat>
  <w:rsids>
    <w:rsidRoot w:val="004A523F"/>
    <w:rsid w:val="000328C2"/>
    <w:rsid w:val="00051DFF"/>
    <w:rsid w:val="00054EAF"/>
    <w:rsid w:val="00072F84"/>
    <w:rsid w:val="00087D02"/>
    <w:rsid w:val="0009425A"/>
    <w:rsid w:val="000E0AE1"/>
    <w:rsid w:val="000E0BEA"/>
    <w:rsid w:val="000E4CEA"/>
    <w:rsid w:val="001409AB"/>
    <w:rsid w:val="00144F65"/>
    <w:rsid w:val="0014577C"/>
    <w:rsid w:val="0015528B"/>
    <w:rsid w:val="001556DD"/>
    <w:rsid w:val="00164D2E"/>
    <w:rsid w:val="00181CC9"/>
    <w:rsid w:val="0019224B"/>
    <w:rsid w:val="00195353"/>
    <w:rsid w:val="00195D77"/>
    <w:rsid w:val="001B0FA1"/>
    <w:rsid w:val="001C54BE"/>
    <w:rsid w:val="001C60C0"/>
    <w:rsid w:val="001C702D"/>
    <w:rsid w:val="001D5EEF"/>
    <w:rsid w:val="001E2865"/>
    <w:rsid w:val="001F5313"/>
    <w:rsid w:val="00211FE5"/>
    <w:rsid w:val="0023585B"/>
    <w:rsid w:val="00247FEA"/>
    <w:rsid w:val="0025410B"/>
    <w:rsid w:val="0028288B"/>
    <w:rsid w:val="002B0796"/>
    <w:rsid w:val="002B3DBB"/>
    <w:rsid w:val="002E62D8"/>
    <w:rsid w:val="003016F4"/>
    <w:rsid w:val="003661DC"/>
    <w:rsid w:val="0036737A"/>
    <w:rsid w:val="00385C17"/>
    <w:rsid w:val="003A1E3D"/>
    <w:rsid w:val="003B0133"/>
    <w:rsid w:val="003B60AE"/>
    <w:rsid w:val="00447999"/>
    <w:rsid w:val="00451B21"/>
    <w:rsid w:val="00471C44"/>
    <w:rsid w:val="004A523F"/>
    <w:rsid w:val="004C0574"/>
    <w:rsid w:val="004D7F98"/>
    <w:rsid w:val="004F160C"/>
    <w:rsid w:val="005043EF"/>
    <w:rsid w:val="00510E2D"/>
    <w:rsid w:val="00534393"/>
    <w:rsid w:val="00560B8C"/>
    <w:rsid w:val="00590943"/>
    <w:rsid w:val="005A19EA"/>
    <w:rsid w:val="005D0E81"/>
    <w:rsid w:val="005D673A"/>
    <w:rsid w:val="005E1101"/>
    <w:rsid w:val="005E228D"/>
    <w:rsid w:val="005F20FF"/>
    <w:rsid w:val="00604A7A"/>
    <w:rsid w:val="00607247"/>
    <w:rsid w:val="00692B05"/>
    <w:rsid w:val="0069520F"/>
    <w:rsid w:val="006B53B0"/>
    <w:rsid w:val="006C655C"/>
    <w:rsid w:val="006E1AC0"/>
    <w:rsid w:val="006E52B1"/>
    <w:rsid w:val="00703B4D"/>
    <w:rsid w:val="00727BD0"/>
    <w:rsid w:val="00730BB9"/>
    <w:rsid w:val="007A3E87"/>
    <w:rsid w:val="00812975"/>
    <w:rsid w:val="008130EF"/>
    <w:rsid w:val="00816510"/>
    <w:rsid w:val="00860947"/>
    <w:rsid w:val="00862815"/>
    <w:rsid w:val="00864275"/>
    <w:rsid w:val="00866169"/>
    <w:rsid w:val="00866432"/>
    <w:rsid w:val="00881537"/>
    <w:rsid w:val="00894F9A"/>
    <w:rsid w:val="008A6A2C"/>
    <w:rsid w:val="008B4806"/>
    <w:rsid w:val="008F38BE"/>
    <w:rsid w:val="0090494B"/>
    <w:rsid w:val="0091216C"/>
    <w:rsid w:val="009262D2"/>
    <w:rsid w:val="009327D1"/>
    <w:rsid w:val="00936507"/>
    <w:rsid w:val="0094168D"/>
    <w:rsid w:val="00941713"/>
    <w:rsid w:val="00942C38"/>
    <w:rsid w:val="009527DC"/>
    <w:rsid w:val="009725F7"/>
    <w:rsid w:val="00975020"/>
    <w:rsid w:val="009751B1"/>
    <w:rsid w:val="00994E41"/>
    <w:rsid w:val="009A6353"/>
    <w:rsid w:val="009C5CEB"/>
    <w:rsid w:val="009E6407"/>
    <w:rsid w:val="00A055F9"/>
    <w:rsid w:val="00A151C8"/>
    <w:rsid w:val="00A6156B"/>
    <w:rsid w:val="00A840AC"/>
    <w:rsid w:val="00A9623A"/>
    <w:rsid w:val="00AB7CD0"/>
    <w:rsid w:val="00AC57C3"/>
    <w:rsid w:val="00B02039"/>
    <w:rsid w:val="00B12EB9"/>
    <w:rsid w:val="00B25007"/>
    <w:rsid w:val="00B362D7"/>
    <w:rsid w:val="00B550DF"/>
    <w:rsid w:val="00B74F0E"/>
    <w:rsid w:val="00BA0C76"/>
    <w:rsid w:val="00BB1B2B"/>
    <w:rsid w:val="00BB465C"/>
    <w:rsid w:val="00BC0785"/>
    <w:rsid w:val="00BE52BB"/>
    <w:rsid w:val="00C0433B"/>
    <w:rsid w:val="00C31B34"/>
    <w:rsid w:val="00C52FA9"/>
    <w:rsid w:val="00C755FE"/>
    <w:rsid w:val="00CA5133"/>
    <w:rsid w:val="00CB4335"/>
    <w:rsid w:val="00CD6029"/>
    <w:rsid w:val="00CF298B"/>
    <w:rsid w:val="00D012A4"/>
    <w:rsid w:val="00D03FDF"/>
    <w:rsid w:val="00D14812"/>
    <w:rsid w:val="00D91F58"/>
    <w:rsid w:val="00DA756D"/>
    <w:rsid w:val="00DB47FD"/>
    <w:rsid w:val="00DC1A5A"/>
    <w:rsid w:val="00DC2CBC"/>
    <w:rsid w:val="00DD06C2"/>
    <w:rsid w:val="00E24BB4"/>
    <w:rsid w:val="00EC0A4C"/>
    <w:rsid w:val="00EE506F"/>
    <w:rsid w:val="00F51E3B"/>
    <w:rsid w:val="00F61DEB"/>
    <w:rsid w:val="00F73FBF"/>
    <w:rsid w:val="00F90345"/>
    <w:rsid w:val="00F91300"/>
    <w:rsid w:val="00F92E16"/>
    <w:rsid w:val="00FE4EDF"/>
    <w:rsid w:val="00FE5BFE"/>
    <w:rsid w:val="00FF320D"/>
    <w:rsid w:val="1AA57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16"/>
    <w:qFormat/>
    <w:uiPriority w:val="1"/>
    <w:pPr>
      <w:spacing w:before="279"/>
      <w:ind w:left="724"/>
      <w:jc w:val="center"/>
      <w:outlineLvl w:val="0"/>
    </w:pPr>
    <w:rPr>
      <w:rFonts w:ascii="PMingLiU" w:hAnsi="PMingLiU" w:eastAsia="PMingLiU" w:cs="PMingLiU"/>
      <w:sz w:val="44"/>
      <w:szCs w:val="44"/>
    </w:rPr>
  </w:style>
  <w:style w:type="paragraph" w:styleId="3">
    <w:name w:val="heading 2"/>
    <w:basedOn w:val="1"/>
    <w:next w:val="1"/>
    <w:qFormat/>
    <w:uiPriority w:val="1"/>
    <w:pPr>
      <w:ind w:left="1031"/>
      <w:outlineLvl w:val="1"/>
    </w:pPr>
    <w:rPr>
      <w:rFonts w:ascii="Microsoft JhengHei" w:hAnsi="Microsoft JhengHei" w:eastAsia="Microsoft JhengHei" w:cs="Microsoft JhengHe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7"/>
    <w:qFormat/>
    <w:uiPriority w:val="1"/>
    <w:rPr>
      <w:sz w:val="32"/>
      <w:szCs w:val="32"/>
    </w:rPr>
  </w:style>
  <w:style w:type="paragraph" w:styleId="5">
    <w:name w:val="Balloon Text"/>
    <w:basedOn w:val="1"/>
    <w:link w:val="13"/>
    <w:semiHidden/>
    <w:unhideWhenUsed/>
    <w:qFormat/>
    <w:uiPriority w:val="99"/>
    <w:rPr>
      <w:sz w:val="18"/>
      <w:szCs w:val="18"/>
    </w:rPr>
  </w:style>
  <w:style w:type="paragraph" w:styleId="6">
    <w:name w:val="footer"/>
    <w:basedOn w:val="1"/>
    <w:link w:val="15"/>
    <w:unhideWhenUsed/>
    <w:uiPriority w:val="0"/>
    <w:pPr>
      <w:tabs>
        <w:tab w:val="center" w:pos="4153"/>
        <w:tab w:val="right" w:pos="8306"/>
      </w:tabs>
      <w:snapToGrid w:val="0"/>
    </w:pPr>
    <w:rPr>
      <w:sz w:val="18"/>
      <w:szCs w:val="18"/>
    </w:rPr>
  </w:style>
  <w:style w:type="paragraph" w:styleId="7">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391" w:firstLine="640"/>
    </w:pPr>
  </w:style>
  <w:style w:type="paragraph" w:customStyle="1" w:styleId="12">
    <w:name w:val="Table Paragraph"/>
    <w:basedOn w:val="1"/>
    <w:qFormat/>
    <w:uiPriority w:val="1"/>
  </w:style>
  <w:style w:type="character" w:customStyle="1" w:styleId="13">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14">
    <w:name w:val="页眉 Char"/>
    <w:basedOn w:val="9"/>
    <w:link w:val="7"/>
    <w:qFormat/>
    <w:uiPriority w:val="99"/>
    <w:rPr>
      <w:rFonts w:ascii="宋体" w:hAnsi="宋体" w:eastAsia="宋体" w:cs="宋体"/>
      <w:sz w:val="18"/>
      <w:szCs w:val="18"/>
      <w:lang w:val="zh-CN" w:eastAsia="zh-CN" w:bidi="zh-CN"/>
    </w:rPr>
  </w:style>
  <w:style w:type="character" w:customStyle="1" w:styleId="15">
    <w:name w:val="页脚 Char"/>
    <w:basedOn w:val="9"/>
    <w:link w:val="6"/>
    <w:uiPriority w:val="0"/>
    <w:rPr>
      <w:rFonts w:ascii="宋体" w:hAnsi="宋体" w:eastAsia="宋体" w:cs="宋体"/>
      <w:sz w:val="18"/>
      <w:szCs w:val="18"/>
      <w:lang w:val="zh-CN" w:eastAsia="zh-CN" w:bidi="zh-CN"/>
    </w:rPr>
  </w:style>
  <w:style w:type="character" w:customStyle="1" w:styleId="16">
    <w:name w:val="标题 1 Char"/>
    <w:basedOn w:val="9"/>
    <w:link w:val="2"/>
    <w:qFormat/>
    <w:uiPriority w:val="1"/>
    <w:rPr>
      <w:rFonts w:ascii="PMingLiU" w:hAnsi="PMingLiU" w:eastAsia="PMingLiU" w:cs="PMingLiU"/>
      <w:sz w:val="44"/>
      <w:szCs w:val="44"/>
      <w:lang w:val="zh-CN" w:eastAsia="zh-CN" w:bidi="zh-CN"/>
    </w:rPr>
  </w:style>
  <w:style w:type="character" w:customStyle="1" w:styleId="17">
    <w:name w:val="正文文本 Char"/>
    <w:basedOn w:val="9"/>
    <w:link w:val="4"/>
    <w:qFormat/>
    <w:uiPriority w:val="1"/>
    <w:rPr>
      <w:rFonts w:ascii="宋体" w:hAnsi="宋体" w:eastAsia="宋体" w:cs="宋体"/>
      <w:sz w:val="32"/>
      <w:szCs w:val="32"/>
      <w:lang w:val="zh-CN" w:eastAsia="zh-CN" w:bidi="zh-CN"/>
    </w:rPr>
  </w:style>
  <w:style w:type="paragraph" w:customStyle="1" w:styleId="18">
    <w:name w:val="_Style 20"/>
    <w:basedOn w:val="1"/>
    <w:semiHidden/>
    <w:qFormat/>
    <w:uiPriority w:val="0"/>
    <w:pPr>
      <w:widowControl/>
      <w:autoSpaceDE/>
      <w:autoSpaceDN/>
      <w:spacing w:after="160" w:line="240" w:lineRule="exact"/>
    </w:pPr>
    <w:rPr>
      <w:rFonts w:ascii="Verdana" w:hAnsi="Verdana" w:cs="Times New Roman"/>
      <w:sz w:val="20"/>
      <w:szCs w:val="20"/>
      <w:lang w:val="en-US" w:eastAsia="en-US" w:bidi="ar-SA"/>
    </w:rPr>
  </w:style>
  <w:style w:type="paragraph" w:customStyle="1" w:styleId="19">
    <w:name w:val="reader-word-layer reader-word-s2-5"/>
    <w:basedOn w:val="1"/>
    <w:uiPriority w:val="0"/>
    <w:pPr>
      <w:widowControl/>
      <w:autoSpaceDE/>
      <w:autoSpaceDN/>
      <w:spacing w:before="100" w:beforeAutospacing="1" w:after="100" w:afterAutospacing="1"/>
    </w:pPr>
    <w:rPr>
      <w:sz w:val="24"/>
      <w:szCs w:val="24"/>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E963AB-AE5E-4C00-A44D-122225D810D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597</Words>
  <Characters>3404</Characters>
  <Lines>28</Lines>
  <Paragraphs>7</Paragraphs>
  <TotalTime>434</TotalTime>
  <ScaleCrop>false</ScaleCrop>
  <LinksUpToDate>false</LinksUpToDate>
  <CharactersWithSpaces>3994</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2019-11-20T01:21:00Z</dcterms:created>
  <dc:creator>微软用户</dc:creator>
  <cp:lastModifiedBy>Administrator</cp:lastModifiedBy>
  <cp:lastPrinted>2019-11-18T10:18:00Z</cp:lastPrinted>
  <dcterms:modified xsi:type="dcterms:W3CDTF">2019-12-06T09:39:42Z</dcterms:modified>
  <dc:title>党风廉政建设责任分解表</dc:title>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y fmtid="{D5CDD505-2E9C-101B-9397-08002B2CF9AE}" pid="5" name="KSOProductBuildVer">
    <vt:lpwstr>2052-11.1.0.9209</vt:lpwstr>
  </property>
</Properties>
</file>