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湖南高速铁路职业技术学院</w:t>
      </w:r>
      <w:r>
        <w:rPr>
          <w:u w:val="single"/>
        </w:rPr>
        <w:tab/>
      </w:r>
      <w:r>
        <w:tab/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eastAsia="zh-CN"/>
        </w:rPr>
        <w:t>雷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eastAsia="zh-CN"/>
        </w:rPr>
        <w:t>伟</w:t>
      </w:r>
      <w:r>
        <w:rPr>
          <w:rFonts w:hint="eastAsia"/>
          <w:u w:val="single"/>
          <w:lang w:val="en-US" w:eastAsia="zh-CN"/>
        </w:rPr>
        <w:t xml:space="preserve">  </w:t>
      </w:r>
      <w:r>
        <w:tab/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副教授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土木工程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tbl>
      <w:tblPr>
        <w:tblStyle w:val="8"/>
        <w:tblW w:w="2236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1381"/>
        <w:gridCol w:w="279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  <w:vAlign w:val="top"/>
          </w:tcPr>
          <w:p>
            <w:pPr>
              <w:pStyle w:val="14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  <w:vAlign w:val="top"/>
          </w:tcPr>
          <w:p>
            <w:pPr>
              <w:pStyle w:val="14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  <w:vAlign w:val="top"/>
          </w:tcPr>
          <w:p>
            <w:pPr>
              <w:pStyle w:val="14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 w:eastAsia="楷体_GB2312"/>
                <w:b/>
                <w:szCs w:val="21"/>
              </w:rPr>
              <w:t>雷伟</w:t>
            </w:r>
          </w:p>
        </w:tc>
        <w:tc>
          <w:tcPr>
            <w:tcW w:w="2714" w:type="dxa"/>
            <w:gridSpan w:val="4"/>
            <w:vAlign w:val="top"/>
          </w:tcPr>
          <w:p>
            <w:pPr>
              <w:pStyle w:val="14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rFonts w:ascii="Times New Roman"/>
              </w:rPr>
            </w:pPr>
            <w:r>
              <w:rPr>
                <w:rFonts w:hint="eastAsia" w:ascii="楷体_GB2312" w:hAnsi="楷体" w:eastAsia="楷体_GB2312" w:cs="楷体_GB2312"/>
                <w:b/>
                <w:sz w:val="20"/>
                <w:szCs w:val="20"/>
              </w:rPr>
              <w:t>198</w:t>
            </w:r>
            <w:r>
              <w:rPr>
                <w:rFonts w:hint="eastAsia" w:ascii="楷体_GB2312" w:hAnsi="楷体" w:eastAsia="楷体_GB2312" w:cs="楷体_GB2312"/>
                <w:b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楷体_GB2312" w:hAnsi="楷体" w:eastAsia="楷体_GB2312" w:cs="楷体_GB2312"/>
                <w:b/>
                <w:sz w:val="20"/>
                <w:szCs w:val="20"/>
              </w:rPr>
              <w:t>.9</w:t>
            </w:r>
          </w:p>
        </w:tc>
        <w:tc>
          <w:tcPr>
            <w:tcW w:w="723" w:type="dxa"/>
            <w:vMerge w:val="restart"/>
            <w:vAlign w:val="top"/>
          </w:tcPr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  <w:vAlign w:val="top"/>
          </w:tcPr>
          <w:p>
            <w:pPr>
              <w:pStyle w:val="14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4642" w:type="dxa"/>
            <w:gridSpan w:val="4"/>
            <w:vAlign w:val="top"/>
          </w:tcPr>
          <w:p>
            <w:pPr>
              <w:pStyle w:val="14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001" w:type="dxa"/>
            <w:gridSpan w:val="5"/>
            <w:vAlign w:val="top"/>
          </w:tcPr>
          <w:p>
            <w:pPr>
              <w:pStyle w:val="14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  <w:vAlign w:val="top"/>
          </w:tcPr>
          <w:p>
            <w:pPr>
              <w:pStyle w:val="14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4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4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  <w:vAlign w:val="top"/>
          </w:tcPr>
          <w:p>
            <w:pPr>
              <w:pStyle w:val="14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 w:ascii="楷体_GB2312" w:hAnsi="宋体" w:eastAsia="楷体_GB2312" w:cs="楷体_GB2312"/>
                <w:b/>
                <w:szCs w:val="21"/>
              </w:rPr>
              <w:t>男</w:t>
            </w:r>
          </w:p>
        </w:tc>
        <w:tc>
          <w:tcPr>
            <w:tcW w:w="2714" w:type="dxa"/>
            <w:gridSpan w:val="4"/>
            <w:vMerge w:val="restart"/>
            <w:vAlign w:val="top"/>
          </w:tcPr>
          <w:p>
            <w:pPr>
              <w:pStyle w:val="14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rFonts w:ascii="Times New Roman"/>
              </w:rPr>
            </w:pPr>
            <w:r>
              <w:rPr>
                <w:rFonts w:hint="eastAsia" w:ascii="楷体_GB2312" w:hAnsi="楷体" w:eastAsia="楷体_GB2312" w:cs="楷体_GB2312"/>
                <w:b/>
                <w:sz w:val="20"/>
                <w:szCs w:val="20"/>
              </w:rPr>
              <w:t>200</w:t>
            </w:r>
            <w:r>
              <w:rPr>
                <w:rFonts w:ascii="楷体_GB2312" w:hAnsi="楷体" w:eastAsia="楷体_GB2312" w:cs="楷体_GB2312"/>
                <w:b/>
                <w:sz w:val="20"/>
                <w:szCs w:val="20"/>
              </w:rPr>
              <w:t>4</w:t>
            </w:r>
            <w:r>
              <w:rPr>
                <w:rFonts w:hint="eastAsia" w:ascii="楷体_GB2312" w:hAnsi="楷体" w:eastAsia="楷体_GB2312" w:cs="楷体_GB2312"/>
                <w:b/>
                <w:sz w:val="20"/>
                <w:szCs w:val="20"/>
              </w:rPr>
              <w:t>.7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  <w:vAlign w:val="top"/>
          </w:tcPr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4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  <w:vAlign w:val="top"/>
          </w:tcPr>
          <w:p>
            <w:pPr>
              <w:pStyle w:val="14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4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  <w:vAlign w:val="top"/>
          </w:tcPr>
          <w:p>
            <w:pPr>
              <w:pStyle w:val="14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  <w:vAlign w:val="top"/>
          </w:tcPr>
          <w:p>
            <w:pPr>
              <w:pStyle w:val="14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4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4642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  <w:lang w:eastAsia="zh-CN"/>
              </w:rPr>
              <w:t>）参与铁道工程技术专业群、测量课程的建设；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>2017年11月 参加湖南省教师测量竞赛二等奖；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（3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sz w:val="18"/>
                <w:szCs w:val="18"/>
              </w:rPr>
              <w:t>年1月 指导学生参加工程测量竞赛获省</w:t>
            </w:r>
            <w:r>
              <w:rPr>
                <w:rFonts w:hint="eastAsia"/>
                <w:sz w:val="18"/>
                <w:szCs w:val="18"/>
                <w:lang w:eastAsia="zh-CN"/>
              </w:rPr>
              <w:t>一</w:t>
            </w:r>
            <w:r>
              <w:rPr>
                <w:rFonts w:hint="eastAsia"/>
                <w:sz w:val="18"/>
                <w:szCs w:val="18"/>
              </w:rPr>
              <w:t>等奖</w:t>
            </w:r>
          </w:p>
        </w:tc>
        <w:tc>
          <w:tcPr>
            <w:tcW w:w="3001" w:type="dxa"/>
            <w:gridSpan w:val="5"/>
            <w:vMerge w:val="restart"/>
            <w:vAlign w:val="center"/>
          </w:tcPr>
          <w:p>
            <w:pPr>
              <w:pStyle w:val="14"/>
              <w:jc w:val="center"/>
              <w:rPr>
                <w:rFonts w:hint="eastAsia" w:ascii="Times New Roman" w:eastAsia="宋体"/>
                <w:lang w:eastAsia="zh-CN"/>
              </w:rPr>
            </w:pPr>
            <w:r>
              <w:rPr>
                <w:rFonts w:hint="eastAsia" w:ascii="Times New Roman"/>
                <w:lang w:eastAsia="zh-CN"/>
              </w:rPr>
              <w:t>无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  <w:vAlign w:val="top"/>
          </w:tcPr>
          <w:p>
            <w:pPr>
              <w:pStyle w:val="14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  <w:vAlign w:val="top"/>
          </w:tcPr>
          <w:p>
            <w:pPr>
              <w:pStyle w:val="14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5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  <w:vAlign w:val="top"/>
          </w:tcPr>
          <w:p>
            <w:pPr>
              <w:pStyle w:val="14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14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4"/>
              <w:jc w:val="center"/>
              <w:rPr>
                <w:rFonts w:hint="eastAsia" w:ascii="Times New Roman" w:eastAsia="宋体"/>
                <w:lang w:eastAsia="zh-CN"/>
              </w:rPr>
            </w:pPr>
            <w:r>
              <w:rPr>
                <w:rFonts w:hint="eastAsia" w:ascii="楷体_GB2312" w:hAnsi="宋体" w:eastAsia="楷体_GB2312" w:cs="楷体_GB2312"/>
                <w:b/>
                <w:sz w:val="22"/>
                <w:szCs w:val="21"/>
                <w:lang w:val="zh-CN" w:eastAsia="zh-CN" w:bidi="zh-CN"/>
              </w:rPr>
              <w:t>讲师</w:t>
            </w:r>
          </w:p>
        </w:tc>
        <w:tc>
          <w:tcPr>
            <w:tcW w:w="1104" w:type="dxa"/>
            <w:vMerge w:val="restart"/>
            <w:vAlign w:val="top"/>
          </w:tcPr>
          <w:p>
            <w:pPr>
              <w:pStyle w:val="14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14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rFonts w:ascii="Times New Roman"/>
              </w:rPr>
            </w:pPr>
            <w:r>
              <w:rPr>
                <w:rFonts w:hint="eastAsia" w:ascii="楷体_GB2312" w:hAnsi="楷体" w:eastAsia="楷体_GB2312" w:cs="楷体_GB2312"/>
                <w:b/>
                <w:sz w:val="20"/>
                <w:szCs w:val="20"/>
              </w:rPr>
              <w:t>201</w:t>
            </w:r>
            <w:r>
              <w:rPr>
                <w:rFonts w:ascii="楷体_GB2312" w:hAnsi="楷体" w:eastAsia="楷体_GB2312" w:cs="楷体_GB2312"/>
                <w:b/>
                <w:sz w:val="20"/>
                <w:szCs w:val="20"/>
              </w:rPr>
              <w:t>1</w:t>
            </w:r>
            <w:r>
              <w:rPr>
                <w:rFonts w:hint="eastAsia" w:ascii="楷体_GB2312" w:hAnsi="楷体" w:eastAsia="楷体_GB2312" w:cs="楷体_GB2312"/>
                <w:b/>
                <w:sz w:val="20"/>
                <w:szCs w:val="20"/>
              </w:rPr>
              <w:t>.1</w:t>
            </w:r>
            <w:r>
              <w:rPr>
                <w:rFonts w:hint="eastAsia" w:ascii="楷体_GB2312" w:hAnsi="楷体" w:eastAsia="楷体_GB2312" w:cs="楷体_GB2312"/>
                <w:b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5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vAlign w:val="center"/>
          </w:tcPr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2015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2016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2017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2018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2019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460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356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272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430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376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122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122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104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87</w:t>
            </w:r>
          </w:p>
          <w:p>
            <w:pPr>
              <w:pStyle w:val="14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140</w:t>
            </w:r>
          </w:p>
        </w:tc>
        <w:tc>
          <w:tcPr>
            <w:tcW w:w="1757" w:type="dxa"/>
            <w:vMerge w:val="restart"/>
            <w:vAlign w:val="center"/>
          </w:tcPr>
          <w:p>
            <w:pPr>
              <w:pStyle w:val="14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出卷、监考</w:t>
            </w:r>
            <w:r>
              <w:rPr>
                <w:rFonts w:hint="eastAsia"/>
                <w:szCs w:val="21"/>
                <w:lang w:eastAsia="zh-CN"/>
              </w:rPr>
              <w:t>等</w:t>
            </w:r>
          </w:p>
          <w:p>
            <w:pPr>
              <w:pStyle w:val="14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出卷、监考</w:t>
            </w:r>
            <w:r>
              <w:rPr>
                <w:rFonts w:hint="eastAsia"/>
                <w:szCs w:val="21"/>
                <w:lang w:eastAsia="zh-CN"/>
              </w:rPr>
              <w:t>等</w:t>
            </w:r>
          </w:p>
          <w:p>
            <w:pPr>
              <w:pStyle w:val="14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出卷、监考</w:t>
            </w:r>
            <w:r>
              <w:rPr>
                <w:rFonts w:hint="eastAsia"/>
                <w:szCs w:val="21"/>
                <w:lang w:eastAsia="zh-CN"/>
              </w:rPr>
              <w:t>等</w:t>
            </w:r>
          </w:p>
          <w:p>
            <w:pPr>
              <w:pStyle w:val="14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出卷、监考</w:t>
            </w:r>
            <w:r>
              <w:rPr>
                <w:rFonts w:hint="eastAsia"/>
                <w:szCs w:val="21"/>
                <w:lang w:eastAsia="zh-CN"/>
              </w:rPr>
              <w:t>等</w:t>
            </w:r>
          </w:p>
          <w:p>
            <w:pPr>
              <w:pStyle w:val="14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出卷、监考</w:t>
            </w:r>
            <w:r>
              <w:rPr>
                <w:rFonts w:hint="eastAsia"/>
                <w:szCs w:val="21"/>
                <w:lang w:eastAsia="zh-CN"/>
              </w:rPr>
              <w:t>等</w:t>
            </w:r>
          </w:p>
        </w:tc>
        <w:tc>
          <w:tcPr>
            <w:tcW w:w="4642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5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342" w:type="dxa"/>
            <w:vAlign w:val="top"/>
          </w:tcPr>
          <w:p>
            <w:pPr>
              <w:pStyle w:val="14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14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  <w:jc w:val="center"/>
              <w:rPr>
                <w:rFonts w:ascii="Times New Roman"/>
              </w:rPr>
            </w:pPr>
            <w:r>
              <w:rPr>
                <w:rFonts w:hint="eastAsia" w:ascii="楷体_GB2312" w:hAnsi="宋体" w:eastAsia="楷体_GB2312" w:cs="楷体_GB2312"/>
                <w:b/>
                <w:szCs w:val="21"/>
              </w:rPr>
              <w:t>77(B）</w:t>
            </w:r>
          </w:p>
        </w:tc>
        <w:tc>
          <w:tcPr>
            <w:tcW w:w="2714" w:type="dxa"/>
            <w:gridSpan w:val="4"/>
            <w:vAlign w:val="top"/>
          </w:tcPr>
          <w:p>
            <w:pPr>
              <w:pStyle w:val="14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14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rFonts w:ascii="Times New Roma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1"/>
                <w:lang w:val="zh-CN" w:eastAsia="zh-CN" w:bidi="zh-CN"/>
              </w:rPr>
              <w:t>三个模块合格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5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  <w:vAlign w:val="top"/>
          </w:tcPr>
          <w:p>
            <w:pPr>
              <w:pStyle w:val="14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</w:rPr>
            </w:pPr>
            <w:r>
              <w:rPr>
                <w:rFonts w:hint="eastAsia"/>
                <w:b/>
                <w:bCs/>
                <w:szCs w:val="21"/>
              </w:rPr>
              <w:t>本科</w:t>
            </w:r>
          </w:p>
        </w:tc>
        <w:tc>
          <w:tcPr>
            <w:tcW w:w="2714" w:type="dxa"/>
            <w:gridSpan w:val="4"/>
            <w:vMerge w:val="restart"/>
            <w:vAlign w:val="top"/>
          </w:tcPr>
          <w:p>
            <w:pPr>
              <w:pStyle w:val="14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</w:rPr>
            </w:pPr>
            <w:r>
              <w:rPr>
                <w:rFonts w:hint="eastAsia" w:eastAsia="楷体_GB2312" w:cs="楷体_GB2312"/>
                <w:b/>
                <w:szCs w:val="21"/>
              </w:rPr>
              <w:t>学</w:t>
            </w:r>
            <w:r>
              <w:rPr>
                <w:rFonts w:hint="eastAsia" w:ascii="楷体_GB2312" w:hAnsi="宋体" w:eastAsia="楷体_GB2312" w:cs="楷体_GB2312"/>
                <w:b/>
                <w:szCs w:val="21"/>
              </w:rPr>
              <w:t>士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5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  <w:vAlign w:val="top"/>
          </w:tcPr>
          <w:p>
            <w:pPr>
              <w:pStyle w:val="14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  <w:vAlign w:val="top"/>
          </w:tcPr>
          <w:p>
            <w:pPr>
              <w:pStyle w:val="14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4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土木</w:t>
            </w:r>
          </w:p>
          <w:p>
            <w:pPr>
              <w:pStyle w:val="14"/>
              <w:jc w:val="center"/>
              <w:rPr>
                <w:rFonts w:ascii="Times New Roman"/>
              </w:rPr>
            </w:pPr>
            <w:r>
              <w:rPr>
                <w:rFonts w:hint="eastAsia"/>
                <w:b/>
                <w:bCs/>
                <w:szCs w:val="21"/>
              </w:rPr>
              <w:t>工程</w:t>
            </w:r>
          </w:p>
        </w:tc>
        <w:tc>
          <w:tcPr>
            <w:tcW w:w="2714" w:type="dxa"/>
            <w:gridSpan w:val="4"/>
            <w:vMerge w:val="restart"/>
            <w:vAlign w:val="top"/>
          </w:tcPr>
          <w:p>
            <w:pPr>
              <w:pStyle w:val="14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4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</w:rPr>
            </w:pPr>
            <w:r>
              <w:rPr>
                <w:rFonts w:hint="eastAsia" w:eastAsia="楷体_GB2312" w:cs="楷体_GB2312"/>
                <w:b/>
                <w:szCs w:val="21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 w:val="18"/>
                <w:szCs w:val="18"/>
              </w:rPr>
              <w:t>《工程测量》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 《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给排水工程测量放线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  <w:lang w:eastAsia="zh-CN"/>
              </w:rPr>
              <w:t>、《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建筑工程测量</w:t>
            </w:r>
            <w:r>
              <w:rPr>
                <w:rFonts w:hint="eastAsia"/>
                <w:sz w:val="18"/>
                <w:szCs w:val="18"/>
                <w:lang w:eastAsia="zh-CN"/>
              </w:rPr>
              <w:t>》、《高速铁路测量技术》等课程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32" w:type="dxa"/>
            <w:gridSpan w:val="6"/>
            <w:vAlign w:val="top"/>
          </w:tcPr>
          <w:p>
            <w:pPr>
              <w:pStyle w:val="14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  <w:vAlign w:val="top"/>
          </w:tcPr>
          <w:p>
            <w:pPr>
              <w:pStyle w:val="14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spacing w:line="280" w:lineRule="exact"/>
              <w:ind w:left="-43" w:leftChars="-51" w:right="-112" w:rightChars="-51" w:hanging="69" w:hangingChars="38"/>
              <w:jc w:val="center"/>
              <w:rPr>
                <w:rFonts w:ascii="Times New Roman"/>
              </w:rPr>
            </w:pPr>
            <w:r>
              <w:rPr>
                <w:rFonts w:hint="eastAsia" w:ascii="楷体_GB2312" w:hAnsi="楷体" w:eastAsia="楷体_GB2312" w:cs="楷体_GB2312"/>
                <w:b/>
                <w:sz w:val="18"/>
                <w:szCs w:val="18"/>
              </w:rPr>
              <w:t>大连交通大学土木工程（道路与桥梁工程）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/>
              </w:rPr>
            </w:pPr>
            <w:r>
              <w:rPr>
                <w:rFonts w:hint="eastAsia" w:ascii="楷体_GB2312" w:hAnsi="宋体" w:eastAsia="楷体_GB2312" w:cs="楷体_GB2312"/>
                <w:b/>
                <w:szCs w:val="21"/>
              </w:rPr>
              <w:t>2004.7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  <w:vAlign w:val="top"/>
          </w:tcPr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4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  <w:vAlign w:val="top"/>
          </w:tcPr>
          <w:p>
            <w:pPr>
              <w:pStyle w:val="14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  <w:vAlign w:val="top"/>
          </w:tcPr>
          <w:p>
            <w:pPr>
              <w:pStyle w:val="14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4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6</w:t>
            </w:r>
          </w:p>
        </w:tc>
        <w:tc>
          <w:tcPr>
            <w:tcW w:w="7316" w:type="dxa"/>
            <w:gridSpan w:val="7"/>
            <w:vMerge w:val="restart"/>
            <w:vAlign w:val="top"/>
          </w:tcPr>
          <w:p>
            <w:pPr>
              <w:pStyle w:val="14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  <w:vAlign w:val="center"/>
          </w:tcPr>
          <w:p>
            <w:pPr>
              <w:pStyle w:val="14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5</w:t>
            </w:r>
          </w:p>
        </w:tc>
        <w:tc>
          <w:tcPr>
            <w:tcW w:w="1239" w:type="dxa"/>
            <w:vMerge w:val="restart"/>
            <w:vAlign w:val="top"/>
          </w:tcPr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4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4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  <w:vAlign w:val="top"/>
          </w:tcPr>
          <w:p>
            <w:pPr>
              <w:pStyle w:val="14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  <w:vAlign w:val="top"/>
          </w:tcPr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一、发表论文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篇，均为独著或第一作者。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（1）代表作一：2016.11《积木法编制卡西欧5800线路坐标计算程序》 发表于《科技经济导刊》，独著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（2）代表作二：201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.1《不完整缓和曲线的几何解法》 发表于《工程技术 》，独著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（3）代表作三：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2019.4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交点法解算线路中边桩坐标5800程序</w:t>
            </w:r>
            <w:r>
              <w:rPr>
                <w:rFonts w:hint="eastAsia"/>
                <w:sz w:val="18"/>
                <w:szCs w:val="18"/>
              </w:rPr>
              <w:t>》发表于《</w:t>
            </w:r>
            <w:r>
              <w:rPr>
                <w:rFonts w:hint="eastAsia"/>
                <w:sz w:val="18"/>
                <w:szCs w:val="18"/>
                <w:lang w:eastAsia="zh-CN"/>
              </w:rPr>
              <w:t>防护工程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sz w:val="18"/>
                <w:szCs w:val="18"/>
              </w:rPr>
              <w:t>独著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（4） 2016.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sz w:val="18"/>
                <w:szCs w:val="18"/>
              </w:rPr>
              <w:t>《光电测距的普及对导线近似平差的影响》 发表于《科技视界》，独著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） 2016.11《一种适于高职教学的线路统一坐标计算方法》 发表于《</w:t>
            </w:r>
            <w:r>
              <w:rPr>
                <w:rFonts w:hint="eastAsia"/>
                <w:sz w:val="18"/>
                <w:szCs w:val="18"/>
                <w:lang w:eastAsia="zh-CN"/>
              </w:rPr>
              <w:t>教育</w:t>
            </w:r>
            <w:r>
              <w:rPr>
                <w:rFonts w:hint="eastAsia"/>
                <w:sz w:val="18"/>
                <w:szCs w:val="18"/>
              </w:rPr>
              <w:t>》，独著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） 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  <w:lang w:eastAsia="zh-CN"/>
              </w:rPr>
              <w:t>高职学生测量放样竞赛训练组织</w:t>
            </w:r>
            <w:r>
              <w:rPr>
                <w:rFonts w:hint="eastAsia"/>
                <w:sz w:val="18"/>
                <w:szCs w:val="18"/>
              </w:rPr>
              <w:t>》 发表于《</w:t>
            </w:r>
            <w:r>
              <w:rPr>
                <w:rFonts w:hint="eastAsia"/>
                <w:sz w:val="18"/>
                <w:szCs w:val="18"/>
                <w:lang w:eastAsia="zh-CN"/>
              </w:rPr>
              <w:t>学习与科普</w:t>
            </w:r>
            <w:r>
              <w:rPr>
                <w:rFonts w:hint="eastAsia"/>
                <w:sz w:val="18"/>
                <w:szCs w:val="18"/>
              </w:rPr>
              <w:t>》，独著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二、正式出版的教材：参编教材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本。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</w:pPr>
            <w:r>
              <w:rPr>
                <w:rFonts w:hint="eastAsia"/>
                <w:sz w:val="18"/>
                <w:szCs w:val="18"/>
              </w:rPr>
              <w:t>（1）《工程测量实训报告及指导书》（东北师范大学出版社）（2）（湘潭大学出版社）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zh-CN" w:eastAsia="zh-CN" w:bidi="zh-CN"/>
              </w:rPr>
              <w:t>《工程测量员高级》教程</w:t>
            </w:r>
            <w:r>
              <w:rPr>
                <w:rFonts w:hint="eastAsia"/>
                <w:sz w:val="18"/>
                <w:szCs w:val="18"/>
              </w:rPr>
              <w:t>（湘潭大学出版社）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zh-CN" w:eastAsia="zh-CN" w:bidi="zh-CN"/>
              </w:rPr>
              <w:t>《工程测量员高级》鉴定指南</w:t>
            </w:r>
            <w:r>
              <w:rPr>
                <w:rFonts w:hint="eastAsia"/>
                <w:sz w:val="18"/>
                <w:szCs w:val="18"/>
              </w:rPr>
              <w:t>（湘潭大学出版社）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zh-CN" w:eastAsia="zh-CN" w:bidi="zh-CN"/>
              </w:rPr>
              <w:t>《工程测量员初级、中级》教程</w:t>
            </w:r>
            <w:r>
              <w:rPr>
                <w:rFonts w:hint="eastAsia"/>
                <w:sz w:val="18"/>
                <w:szCs w:val="18"/>
              </w:rPr>
              <w:t>（湘潭大学出版社）</w:t>
            </w:r>
          </w:p>
          <w:p>
            <w:pPr>
              <w:adjustRightInd w:val="0"/>
              <w:snapToGrid w:val="0"/>
              <w:jc w:val="left"/>
              <w:rPr>
                <w:rFonts w:ascii="Times New Roman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zh-CN" w:eastAsia="zh-CN" w:bidi="zh-CN"/>
              </w:rPr>
              <w:t>《工程测量员初级、中级》鉴定指南</w:t>
            </w:r>
            <w:r>
              <w:rPr>
                <w:rFonts w:hint="eastAsia"/>
                <w:sz w:val="18"/>
                <w:szCs w:val="18"/>
              </w:rPr>
              <w:t>（湘潭大学出版社）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  <w:vAlign w:val="top"/>
          </w:tcPr>
          <w:p>
            <w:pPr>
              <w:pStyle w:val="14"/>
              <w:spacing w:before="33"/>
              <w:ind w:left="21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2014</w:t>
            </w: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  <w:vAlign w:val="top"/>
          </w:tcPr>
          <w:p>
            <w:pPr>
              <w:pStyle w:val="14"/>
              <w:spacing w:before="33"/>
              <w:ind w:left="458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2015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  <w:vAlign w:val="top"/>
          </w:tcPr>
          <w:p>
            <w:pPr>
              <w:pStyle w:val="14"/>
              <w:spacing w:before="33"/>
              <w:ind w:left="444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2016</w:t>
            </w: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  <w:vAlign w:val="top"/>
          </w:tcPr>
          <w:p>
            <w:pPr>
              <w:pStyle w:val="14"/>
              <w:spacing w:before="33"/>
              <w:ind w:left="443" w:right="445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2017</w:t>
            </w:r>
            <w:r>
              <w:rPr>
                <w:sz w:val="21"/>
              </w:rPr>
              <w:t>年度</w:t>
            </w:r>
          </w:p>
        </w:tc>
        <w:tc>
          <w:tcPr>
            <w:tcW w:w="1357" w:type="dxa"/>
            <w:vAlign w:val="top"/>
          </w:tcPr>
          <w:p>
            <w:pPr>
              <w:pStyle w:val="14"/>
              <w:spacing w:before="33"/>
              <w:ind w:left="441" w:right="446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2018</w:t>
            </w: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 w:val="18"/>
                <w:szCs w:val="18"/>
              </w:rPr>
              <w:t>称职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 w:val="18"/>
                <w:szCs w:val="18"/>
              </w:rPr>
              <w:t>称职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 w:val="18"/>
                <w:szCs w:val="18"/>
              </w:rPr>
              <w:t>称职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 w:val="18"/>
                <w:szCs w:val="18"/>
              </w:rPr>
              <w:t>称职</w:t>
            </w:r>
          </w:p>
        </w:tc>
        <w:tc>
          <w:tcPr>
            <w:tcW w:w="1357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 w:val="18"/>
                <w:szCs w:val="18"/>
              </w:rPr>
              <w:t>称职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14"/>
              <w:spacing w:before="4" w:line="256" w:lineRule="exact"/>
              <w:ind w:left="1708"/>
              <w:jc w:val="both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783" w:type="dxa"/>
            <w:gridSpan w:val="8"/>
            <w:vMerge w:val="restart"/>
            <w:vAlign w:val="top"/>
          </w:tcPr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1、2005.7～2010.9，助工，</w:t>
            </w:r>
            <w:r>
              <w:rPr>
                <w:rFonts w:hint="eastAsia"/>
                <w:sz w:val="18"/>
                <w:szCs w:val="18"/>
                <w:lang w:eastAsia="zh-CN"/>
              </w:rPr>
              <w:t>中国</w:t>
            </w:r>
            <w:r>
              <w:rPr>
                <w:rFonts w:hint="eastAsia"/>
                <w:sz w:val="18"/>
                <w:szCs w:val="18"/>
              </w:rPr>
              <w:t>中铁一局三公司；</w:t>
            </w:r>
          </w:p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sz w:val="18"/>
                <w:szCs w:val="18"/>
              </w:rPr>
              <w:t>2010.9～2011.12，助工，湖南交通工程职业技术学院勘测教研室；</w:t>
            </w:r>
          </w:p>
          <w:p>
            <w:pPr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3、2011.12～至今，讲师，湖南高速铁路职业技术学院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勘测</w:t>
            </w:r>
            <w:r>
              <w:rPr>
                <w:rFonts w:hint="eastAsia" w:ascii="宋体" w:hAnsi="宋体"/>
                <w:sz w:val="18"/>
                <w:szCs w:val="18"/>
              </w:rPr>
              <w:t>教研室。</w:t>
            </w: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6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  <w:vAlign w:val="top"/>
          </w:tcPr>
          <w:p>
            <w:pPr>
              <w:pStyle w:val="14"/>
              <w:spacing w:before="170" w:line="249" w:lineRule="auto"/>
              <w:ind w:left="168" w:right="17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承担或参与的科研教研技术开发项目</w:t>
            </w:r>
          </w:p>
          <w:p>
            <w:pPr>
              <w:pStyle w:val="14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18"/>
                <w:szCs w:val="18"/>
              </w:rPr>
              <w:t>（项目名</w:t>
            </w:r>
            <w:r>
              <w:rPr>
                <w:spacing w:val="-18"/>
                <w:sz w:val="18"/>
                <w:szCs w:val="18"/>
              </w:rPr>
              <w:t>称、立项审批单位、项</w:t>
            </w:r>
            <w:r>
              <w:rPr>
                <w:sz w:val="18"/>
                <w:szCs w:val="18"/>
              </w:rPr>
              <w:t>目编号</w:t>
            </w:r>
            <w:r>
              <w:rPr>
                <w:spacing w:val="-70"/>
                <w:sz w:val="18"/>
                <w:szCs w:val="18"/>
              </w:rPr>
              <w:t>）</w:t>
            </w:r>
            <w:r>
              <w:rPr>
                <w:spacing w:val="-16"/>
                <w:sz w:val="18"/>
                <w:szCs w:val="18"/>
              </w:rPr>
              <w:t>及</w:t>
            </w:r>
            <w:r>
              <w:rPr>
                <w:sz w:val="18"/>
                <w:szCs w:val="18"/>
              </w:rPr>
              <w:t>鉴定获奖情况</w:t>
            </w:r>
          </w:p>
        </w:tc>
        <w:tc>
          <w:tcPr>
            <w:tcW w:w="1873" w:type="dxa"/>
            <w:gridSpan w:val="2"/>
            <w:vAlign w:val="top"/>
          </w:tcPr>
          <w:p>
            <w:pPr>
              <w:pStyle w:val="14"/>
              <w:spacing w:before="3"/>
              <w:rPr>
                <w:rFonts w:ascii="Times New Roman"/>
              </w:rPr>
            </w:pPr>
          </w:p>
          <w:p>
            <w:pPr>
              <w:pStyle w:val="14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  <w:vAlign w:val="center"/>
          </w:tcPr>
          <w:p>
            <w:pPr>
              <w:pStyle w:val="14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0</w:t>
            </w:r>
          </w:p>
        </w:tc>
        <w:tc>
          <w:tcPr>
            <w:tcW w:w="1757" w:type="dxa"/>
            <w:vAlign w:val="top"/>
          </w:tcPr>
          <w:p>
            <w:pPr>
              <w:pStyle w:val="14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  <w:vAlign w:val="center"/>
          </w:tcPr>
          <w:p>
            <w:pPr>
              <w:pStyle w:val="14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</w:t>
            </w:r>
          </w:p>
        </w:tc>
        <w:tc>
          <w:tcPr>
            <w:tcW w:w="1205" w:type="dxa"/>
            <w:vAlign w:val="top"/>
          </w:tcPr>
          <w:p>
            <w:pPr>
              <w:pStyle w:val="14"/>
              <w:spacing w:before="3"/>
              <w:rPr>
                <w:rFonts w:ascii="Times New Roman"/>
              </w:rPr>
            </w:pPr>
          </w:p>
          <w:p>
            <w:pPr>
              <w:pStyle w:val="14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pStyle w:val="14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3万</w:t>
            </w:r>
          </w:p>
        </w:tc>
        <w:tc>
          <w:tcPr>
            <w:tcW w:w="1660" w:type="dxa"/>
            <w:gridSpan w:val="2"/>
            <w:vAlign w:val="top"/>
          </w:tcPr>
          <w:p>
            <w:pPr>
              <w:pStyle w:val="14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pStyle w:val="14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</w:t>
            </w:r>
          </w:p>
        </w:tc>
        <w:tc>
          <w:tcPr>
            <w:tcW w:w="880" w:type="dxa"/>
            <w:vAlign w:val="top"/>
          </w:tcPr>
          <w:p>
            <w:pPr>
              <w:pStyle w:val="14"/>
              <w:spacing w:before="3"/>
              <w:rPr>
                <w:rFonts w:ascii="Times New Roman"/>
              </w:rPr>
            </w:pPr>
          </w:p>
          <w:p>
            <w:pPr>
              <w:pStyle w:val="14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  <w:vAlign w:val="center"/>
          </w:tcPr>
          <w:p>
            <w:pPr>
              <w:pStyle w:val="14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1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Align w:val="top"/>
          </w:tcPr>
          <w:p>
            <w:pPr>
              <w:pStyle w:val="14"/>
              <w:rPr>
                <w:rFonts w:hint="eastAsia" w:ascii="Times New Roman"/>
                <w:lang w:eastAsia="zh-CN"/>
              </w:rPr>
            </w:pPr>
            <w:r>
              <w:rPr>
                <w:rFonts w:hint="eastAsia" w:ascii="Times New Roman"/>
                <w:lang w:eastAsia="zh-CN"/>
              </w:rPr>
              <w:t>专利：</w:t>
            </w:r>
          </w:p>
          <w:p>
            <w:pPr>
              <w:pStyle w:val="14"/>
              <w:numPr>
                <w:ilvl w:val="0"/>
                <w:numId w:val="1"/>
              </w:numPr>
              <w:rPr>
                <w:rFonts w:hint="default" w:ascii="宋体" w:hAnsi="宋体" w:eastAsia="宋体" w:cs="宋体"/>
                <w:sz w:val="18"/>
                <w:szCs w:val="18"/>
                <w:lang w:val="en-US" w:eastAsia="zh-CN" w:bidi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 w:bidi="zh-CN"/>
              </w:rPr>
              <w:t>用于土木工程结构表观缺陷的评定系统V1.0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 （2）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 w:bidi="zh-CN"/>
              </w:rPr>
              <w:t>用于工程测量实验教学仿真系统V1.0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 （3）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 w:bidi="zh-CN"/>
              </w:rPr>
              <w:t xml:space="preserve">土木工程结构健康远程监测系统V1.0  </w:t>
            </w:r>
          </w:p>
          <w:p>
            <w:pPr>
              <w:pStyle w:val="14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获奖：</w:t>
            </w:r>
          </w:p>
          <w:p>
            <w:pPr>
              <w:pStyle w:val="14"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>（1）2012.7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工程测量工职业技能鉴定研究与题库开发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>课题获全国三等级</w:t>
            </w:r>
          </w:p>
          <w:p>
            <w:pPr>
              <w:pStyle w:val="14"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（2）2014.5湖南省中职组测量竞赛省级三等奖  （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）2015.11校“空间资源课程”二等奖  （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）2017.12湖南省高职院校中青年教师测量竞赛省级二等奖</w:t>
            </w:r>
          </w:p>
          <w:p>
            <w:pPr>
              <w:pStyle w:val="14"/>
              <w:numPr>
                <w:ilvl w:val="0"/>
                <w:numId w:val="0"/>
              </w:numPr>
              <w:rPr>
                <w:rFonts w:hint="eastAsia" w:cs="宋体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）2018.12校“移动教学竞赛”三等奖       （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>6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）2019.1湖南省高职组测量竞省级一等奖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  <w:vAlign w:val="top"/>
          </w:tcPr>
          <w:p>
            <w:pPr>
              <w:pStyle w:val="14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14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  <w:vAlign w:val="center"/>
          </w:tcPr>
          <w:p>
            <w:pPr>
              <w:pStyle w:val="14"/>
              <w:numPr>
                <w:ilvl w:val="0"/>
                <w:numId w:val="0"/>
              </w:numPr>
              <w:rPr>
                <w:rFonts w:hint="eastAsia" w:cs="宋体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2014.9-2018.7雷伟组织学生集中测量实习情况如下：2014-2015学年第1学期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铁工1308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4周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</w:p>
          <w:p>
            <w:pPr>
              <w:pStyle w:val="14"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2014-2015学年第2学期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给排水高1301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 xml:space="preserve"> 3周2015-2016学年第1学期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 xml:space="preserve"> 铁工1403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 xml:space="preserve"> 4周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2015-2016学年第2学期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建工高1401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3周</w:t>
            </w:r>
          </w:p>
          <w:p>
            <w:pPr>
              <w:pStyle w:val="14"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016-2017学年第1学期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造价高1401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3周 2016-2017学年第2学期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给排水高1501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3周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2017-2018学年第1学期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铁工1609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4周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装饰1601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 xml:space="preserve"> 2周</w:t>
            </w:r>
          </w:p>
          <w:p>
            <w:pPr>
              <w:pStyle w:val="14"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017-2018学年第2学期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给排水高1601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3周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2018-2019学年第1学期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铁工1701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4周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2018-2019学年第2学期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桥隧1801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zh-CN"/>
              </w:rPr>
              <w:t>4周</w:t>
            </w:r>
            <w:r>
              <w:rPr>
                <w:rFonts w:hint="eastAsia" w:cs="宋体"/>
                <w:sz w:val="18"/>
                <w:szCs w:val="18"/>
                <w:lang w:val="en-US" w:eastAsia="zh-CN" w:bidi="zh-CN"/>
              </w:rPr>
              <w:t xml:space="preserve">       合计37周</w:t>
            </w:r>
          </w:p>
          <w:p>
            <w:pPr>
              <w:pStyle w:val="14"/>
              <w:jc w:val="center"/>
              <w:rPr>
                <w:rFonts w:ascii="Times New Roman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14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</w:t>
      </w:r>
      <w:bookmarkStart w:id="0" w:name="_GoBack"/>
      <w:bookmarkEnd w:id="0"/>
      <w:r>
        <w:rPr>
          <w:sz w:val="24"/>
        </w:rPr>
        <w:t>库）等均不作为申报高级专业技术职务的参评材料。</w:t>
      </w:r>
    </w:p>
    <w:p>
      <w:pPr>
        <w:tabs>
          <w:tab w:val="left" w:pos="3105"/>
          <w:tab w:val="left" w:pos="9372"/>
          <w:tab w:val="left" w:pos="12680"/>
        </w:tabs>
        <w:spacing w:before="6"/>
        <w:jc w:val="both"/>
        <w:rPr>
          <w:rFonts w:ascii="Times New Roman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rFonts w:ascii="宋体" w:hAnsi="宋体" w:eastAsia="宋体" w:cs="宋体"/>
        <w:sz w:val="32"/>
        <w:szCs w:val="32"/>
        <w:lang w:val="en-US" w:eastAsia="zh-CN" w:bidi="ar-SA"/>
      </w:rPr>
      <w:pict>
        <v:shape id="image1.png" o:spid="_x0000_s2054" o:spt="75" type="#_x0000_t75" style="position:absolute;left:0pt;margin-left:123.7pt;margin-top:285.95pt;height:329.9pt;width:329.9pt;mso-position-horizontal-relative:page;mso-position-vertical-relative:page;z-index:-251653120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1" gain="65536f" blacklevel="0f" gamma="0" o:title=""/>
          <o:lock v:ext="edit" position="f" selection="f" grouping="f" rotation="f" cropping="f" text="f" aspectratio="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rFonts w:ascii="宋体" w:hAnsi="宋体" w:eastAsia="宋体" w:cs="宋体"/>
        <w:sz w:val="32"/>
        <w:szCs w:val="32"/>
        <w:lang w:val="en-US" w:eastAsia="zh-CN" w:bidi="ar-SA"/>
      </w:rPr>
      <w:pict>
        <v:shape id="_x0000_s2055" o:spid="_x0000_s2055" o:spt="75" type="#_x0000_t75" style="position:absolute;left:0pt;margin-left:322.2pt;margin-top:134.8pt;height:558.25pt;width:558.25pt;mso-position-horizontal-relative:page;mso-position-vertical-relative:page;z-index:-25165209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1" gain="65536f" blacklevel="0f" gamma="0" o:title=""/>
          <o:lock v:ext="edit" position="f" selection="f" grouping="f" rotation="f" cropping="f" text="f" aspectratio="t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rFonts w:ascii="宋体" w:hAnsi="宋体" w:eastAsia="宋体" w:cs="宋体"/>
        <w:sz w:val="32"/>
        <w:szCs w:val="32"/>
        <w:lang w:val="en-US" w:eastAsia="zh-CN" w:bidi="ar-SA"/>
      </w:rPr>
      <w:pict>
        <v:shape id="_x0000_s2056" o:spid="_x0000_s2056" o:spt="75" type="#_x0000_t75" style="position:absolute;left:0pt;margin-left:135.25pt;margin-top:270.7pt;height:313.8pt;width:313.8pt;mso-position-horizontal-relative:page;mso-position-vertical-relative:page;z-index:-251650048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1" gain="65536f" blacklevel="0f" gamma="0" o:title=""/>
          <o:lock v:ext="edit" position="f" selection="f" grouping="f" rotation="f" cropping="f" text="f" aspectratio="t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rFonts w:ascii="宋体" w:hAnsi="宋体" w:eastAsia="宋体" w:cs="宋体"/>
        <w:sz w:val="32"/>
        <w:szCs w:val="32"/>
        <w:lang w:val="en-US" w:eastAsia="zh-CN" w:bidi="ar-SA"/>
      </w:rPr>
      <w:pict>
        <v:shape id="_x0000_s2057" o:spid="_x0000_s2057" o:spt="75" type="#_x0000_t75" style="position:absolute;left:0pt;margin-left:135.25pt;margin-top:265.7pt;height:313.8pt;width:313.8pt;mso-position-horizontal-relative:page;mso-position-vertical-relative:page;z-index:-251651072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1" gain="65536f" blacklevel="0f" gamma="0" o:title=""/>
          <o:lock v:ext="edit" position="f" selection="f" grouping="f" rotation="f" cropping="f" text="f" aspectratio="t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A4C6C"/>
    <w:multiLevelType w:val="singleLevel"/>
    <w:tmpl w:val="5DDA4C6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displayVerticalDrawingGridEvery w:val="1"/>
  <w:characterSpacingControl w:val="doNotCompress"/>
  <w:hdrShapeDefaults>
    <o:shapelayout v:ext="edit">
      <o:idmap v:ext="edit" data="2"/>
    </o:shapelayout>
  </w:hdrShapeDefaults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9526C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semiHidden/>
    <w:unhideWhenUsed/>
    <w:uiPriority w:val="0"/>
  </w:style>
  <w:style w:type="character" w:styleId="11">
    <w:name w:val="FollowedHyperlink"/>
    <w:basedOn w:val="9"/>
    <w:semiHidden/>
    <w:unhideWhenUsed/>
    <w:uiPriority w:val="0"/>
    <w:rPr>
      <w:color w:val="800080"/>
      <w:u w:val="single"/>
    </w:rPr>
  </w:style>
  <w:style w:type="character" w:styleId="12">
    <w:name w:val="Hyperlink"/>
    <w:basedOn w:val="9"/>
    <w:semiHidden/>
    <w:unhideWhenUsed/>
    <w:uiPriority w:val="0"/>
    <w:rPr>
      <w:color w:val="0000FF"/>
      <w:u w:val="single"/>
    </w:rPr>
  </w:style>
  <w:style w:type="paragraph" w:customStyle="1" w:styleId="13">
    <w:name w:val="List Paragraph"/>
    <w:basedOn w:val="1"/>
    <w:qFormat/>
    <w:uiPriority w:val="1"/>
    <w:pPr>
      <w:ind w:left="391" w:firstLine="640"/>
    </w:pPr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批注框文本 Char"/>
    <w:basedOn w:val="9"/>
    <w:link w:val="5"/>
    <w:semiHidden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6">
    <w:name w:val="页眉 Char"/>
    <w:basedOn w:val="9"/>
    <w:link w:val="7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脚 Char"/>
    <w:basedOn w:val="9"/>
    <w:link w:val="6"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4"/>
    <customShpInfo spid="_x0000_s2055"/>
    <customShpInfo spid="_x0000_s2056"/>
    <customShpInfo spid="_x0000_s2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411</Words>
  <Characters>2348</Characters>
  <Lines>19</Lines>
  <Paragraphs>5</Paragraphs>
  <TotalTime>1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Administrator</cp:lastModifiedBy>
  <cp:lastPrinted>2019-12-03T09:07:00Z</cp:lastPrinted>
  <dcterms:modified xsi:type="dcterms:W3CDTF">2019-12-16T08:45:47Z</dcterms:modified>
  <dc:title>党风廉政建设责任分解表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2027-04-11T00:00:00Z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2027-11-18T00:00:00Z</vt:filetime>
  </property>
  <property fmtid="{D5CDD505-2E9C-101B-9397-08002B2CF9AE}" pid="5" name="KSOProductBuildVer">
    <vt:lpwstr>2052-11.1.0.9209</vt:lpwstr>
  </property>
</Properties>
</file>